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к проекту постановления  «</w:t>
      </w:r>
      <w:r>
        <w:rPr>
          <w:b/>
          <w:sz w:val="28"/>
          <w:szCs w:val="28"/>
        </w:rPr>
        <w:t>Об устройстве и содержании ледовых переправ на территории муниципального образования «Приморский муниципальный район» в зимний период 2019-2020 годов»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 Об устройстве и содержании ледовых переправ на территории муниципального образования «Приморский муниципальный район»     в зимний период 2019-2020 годов разработан </w:t>
      </w:r>
      <w:r>
        <w:rPr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Водным кодексом Российской Федерации, </w:t>
      </w:r>
      <w:r>
        <w:rPr>
          <w:rFonts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самоуправления», 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119-па/17, и</w:t>
      </w:r>
      <w:r>
        <w:rPr>
          <w:rFonts w:cs="Times New Roman"/>
          <w:sz w:val="28"/>
          <w:szCs w:val="28"/>
        </w:rPr>
        <w:t xml:space="preserve"> в целях обеспечения жизнедеятельности населения и функционирования объектов экономики муниципального образования «Приморский муниципальный район» в зимний период 2019-2020 годов, организации безопасного движения транспортных средств и пешеходов по ледовым переправам.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Проектом постановления утверждается перечень пешеходных и транспортных ледовых переправ на территории муниципального образования «Приморский муниципальный район» и орган </w:t>
      </w:r>
      <w:r>
        <w:rPr>
          <w:rFonts w:cs="Times New Roman"/>
          <w:sz w:val="28"/>
          <w:szCs w:val="28"/>
        </w:rPr>
        <w:t>(организация)</w:t>
      </w:r>
      <w:r>
        <w:rPr>
          <w:rFonts w:cs="Times New Roman"/>
          <w:sz w:val="28"/>
          <w:szCs w:val="28"/>
        </w:rPr>
        <w:t xml:space="preserve"> , обеспечивающи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устройство и содержание ледовых переправ.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5" w:type="dxa"/>
        <w:jc w:val="left"/>
        <w:tblInd w:w="108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360"/>
        <w:gridCol w:w="4320"/>
        <w:gridCol w:w="4690"/>
        <w:gridCol w:w="5"/>
      </w:tblGrid>
      <w:tr>
        <w:trPr/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переправ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 (организация), обеспечивающие устройство и содержание</w:t>
            </w:r>
          </w:p>
        </w:tc>
      </w:tr>
      <w:tr>
        <w:trPr/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Пешеходные переправы: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русла р. Северная Двина, соединяющая ул. Кирпичный завод п. Цигломень МО «Город Архангельск» – ул. Центральная,     с. Вознесенье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Кегостровская (о. Кего) МО «Город Архангельск» – д. Заручей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реки Северная Двина, соединяющая                          д. Конецдворье МО «Островное» – д. Рикасиха МО «Приморское»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8 марта о. Хабарка МО «Город Архангельск» – д. Пустошь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87" w:hRule="atLeas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Вознесенье МО «Островное» –     д. Ластола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Транспортные переправы: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русла р. Северная Двина, соединяющая ул. Кирпичный завод п. Цигломень МО «Город Архангельск» – ул. Центральная,     с. Вознесенье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Кегостровская (о. Кего) МО «Город Архангельск» – д. Заручей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реки Северная Двина, соединяющая                         д. Конецдворье МО «Островное» – д. Рикасиха МО «Приморское»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8 марта о. Хабарка МО «Город Архангельск» – д. Пустошь МО «Островное»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дер. Патракеевка – дер. Наволок МО «Талажское»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муниципального образования «Талажское»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328" w:leader="none"/>
              </w:tabs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технологическая ледовая переправа через р. Лая МО «Приморское».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ООО «Двинанеруд»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tabs>
          <w:tab w:val="left" w:pos="-5040" w:leader="none"/>
        </w:tabs>
        <w:bidi w:val="0"/>
        <w:spacing w:lineRule="exact" w:line="3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-5040" w:leader="none"/>
        </w:tabs>
        <w:bidi w:val="0"/>
        <w:spacing w:lineRule="exact" w:line="340"/>
        <w:ind w:left="0" w:right="0" w:firstLine="39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Определяется, что </w:t>
      </w:r>
      <w:r>
        <w:rPr>
          <w:rFonts w:cs="Times New Roman"/>
          <w:sz w:val="28"/>
          <w:szCs w:val="28"/>
        </w:rPr>
        <w:t>орган (организация) обеспечивающая</w:t>
      </w:r>
      <w:r>
        <w:rPr>
          <w:rFonts w:cs="Times New Roman"/>
          <w:sz w:val="28"/>
          <w:szCs w:val="28"/>
        </w:rPr>
        <w:t xml:space="preserve"> обустройство и содержания пешеходных ледовых переправ, указанных в пунктах 1-4 и транспортных ледовых переправ указанных в пунктах 1-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производиться в рамках муниципальных контрактов заключенных с физическими и (или) юридическими лицам, </w:t>
      </w:r>
      <w:r>
        <w:rPr>
          <w:rFonts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Проект постановление возлагает на руководителей организаций, обеспечивающих устройство и содержание ледовых переправ обеспечить исполнение требований отраслевых дорожных норм ОДН 218.010-98 «Инструкция по проектированию, строительству и эксплуатации ледовых переправ», утвержденных приказом Федеральной дорожной службы России от 26 сентября 1998 года № 228. Обеспечить безопасность людей на ледовых переправах в соответствии с  п</w:t>
      </w:r>
      <w:r>
        <w:rPr>
          <w:rFonts w:cs="Times New Roman"/>
          <w:color w:val="000000"/>
          <w:sz w:val="28"/>
          <w:szCs w:val="28"/>
        </w:rPr>
        <w:t>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№ 119-па/17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обеспечение расходных обязательств, связанных с исполнением </w:t>
      </w:r>
      <w:r>
        <w:rPr>
          <w:rFonts w:cs="Times New Roman" w:ascii="Times New Roman" w:hAnsi="Times New Roman"/>
          <w:sz w:val="28"/>
          <w:szCs w:val="28"/>
        </w:rPr>
        <w:t xml:space="preserve">настоящего Постановления в части </w:t>
      </w:r>
      <w:r>
        <w:rPr>
          <w:rFonts w:cs="Times New Roman" w:ascii="Times New Roman" w:hAnsi="Times New Roman"/>
          <w:sz w:val="28"/>
          <w:szCs w:val="28"/>
        </w:rPr>
        <w:t>обустройство и содержания пешеходных ледовых переправ, указанных в пунктах 1-4 и транспортных ледовых переправ указанных в пунктах 1-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осуществляется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районного бюджета </w:t>
      </w:r>
      <w:r>
        <w:rPr>
          <w:rFonts w:cs="Times New Roman" w:ascii="Times New Roman" w:hAnsi="Times New Roman"/>
          <w:sz w:val="28"/>
          <w:szCs w:val="28"/>
        </w:rPr>
        <w:t xml:space="preserve"> с учетом его финансовых возможностей (в пределах  6 176,8 тыс. рублей в год).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обеспечение расходных обязательств, связанных с исполнением настоящего Постановления в части </w:t>
      </w:r>
      <w:r>
        <w:rPr>
          <w:rFonts w:cs="Times New Roman" w:ascii="Times New Roman" w:hAnsi="Times New Roman"/>
          <w:sz w:val="28"/>
          <w:szCs w:val="28"/>
        </w:rPr>
        <w:t>обустройств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транспортн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ледов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переправ</w:t>
      </w:r>
      <w:r>
        <w:rPr>
          <w:rFonts w:cs="Times New Roman" w:ascii="Times New Roman" w:hAnsi="Times New Roman"/>
          <w:sz w:val="28"/>
          <w:szCs w:val="28"/>
        </w:rPr>
        <w:t>ы,</w:t>
      </w:r>
      <w:r>
        <w:rPr>
          <w:rFonts w:cs="Times New Roman" w:ascii="Times New Roman" w:hAnsi="Times New Roman"/>
          <w:sz w:val="28"/>
          <w:szCs w:val="28"/>
        </w:rPr>
        <w:t xml:space="preserve"> указанн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в пункт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осуществляется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 бюджета муниципального образования «Талажское» </w:t>
      </w:r>
      <w:r>
        <w:rPr>
          <w:rFonts w:cs="Times New Roman" w:ascii="Times New Roman" w:hAnsi="Times New Roman"/>
          <w:sz w:val="28"/>
          <w:szCs w:val="28"/>
        </w:rPr>
        <w:t>с учетом его финансовых возможностей (в пределах  90 тыс. рублей в год).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обеспечение расходных обязательств, связанных с исполнением настоящего Постановления в части </w:t>
      </w:r>
      <w:r>
        <w:rPr>
          <w:rFonts w:cs="Times New Roman" w:ascii="Times New Roman" w:hAnsi="Times New Roman"/>
          <w:sz w:val="28"/>
          <w:szCs w:val="28"/>
        </w:rPr>
        <w:t>обустройств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и содержания транспортн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ледов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переправ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указанн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в пунктах </w:t>
      </w:r>
      <w:r>
        <w:rPr>
          <w:rFonts w:cs="Times New Roman" w:ascii="Times New Roman" w:hAnsi="Times New Roman"/>
          <w:sz w:val="28"/>
          <w:szCs w:val="28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осуществляется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</w:t>
      </w:r>
      <w:r>
        <w:rPr>
          <w:rFonts w:cs="Times New Roman" w:ascii="Times New Roman" w:hAnsi="Times New Roman"/>
          <w:sz w:val="28"/>
          <w:szCs w:val="28"/>
        </w:rPr>
        <w:t>хозяйствующего субъекта.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группы субъектов предпринимательской деятельности, интересы которых могут быть затронуты предлагаемым Проектом: хозяйствующие субъекты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 xml:space="preserve">физические и (или) юридические лица), осуществляющие услуги </w:t>
      </w:r>
      <w:r>
        <w:rPr>
          <w:rFonts w:cs="Times New Roman" w:ascii="Times New Roman" w:hAnsi="Times New Roman"/>
          <w:sz w:val="28"/>
          <w:szCs w:val="28"/>
        </w:rPr>
        <w:t>в сфере обустройства и содержания ледовых переправ.</w:t>
      </w:r>
      <w:r>
        <w:rPr>
          <w:rFonts w:cs="Times New Roman" w:ascii="Times New Roman" w:hAnsi="Times New Roman"/>
          <w:sz w:val="28"/>
          <w:szCs w:val="28"/>
        </w:rPr>
        <w:t xml:space="preserve"> Принятие Проекта повлечет изменение расходов субъектов предпринимательской деятельности на осуществление такой деятельности в случае заключения муниципального контракта по результатам конкурентных процедур. При этом понесенные затраты хозяйствующим субъекта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 будут компенсированы за счет средств районного бюджета в соответствии с условиями муниципального контракта.</w:t>
      </w:r>
    </w:p>
    <w:sectPr>
      <w:headerReference w:type="default" r:id="rId2"/>
      <w:type w:val="nextPage"/>
      <w:pgSz w:w="12240" w:h="15840"/>
      <w:pgMar w:left="1418" w:right="1021" w:header="720" w:top="777" w:footer="0" w:bottom="851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ad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d4a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d4ad6"/>
    <w:rPr>
      <w:rFonts w:cs="Times New Roman"/>
    </w:rPr>
  </w:style>
  <w:style w:type="character" w:styleId="Style14" w:customStyle="1">
    <w:name w:val="Гипертекстовая ссылка"/>
    <w:uiPriority w:val="99"/>
    <w:qFormat/>
    <w:rsid w:val="00bd4ad6"/>
    <w:rPr>
      <w:color w:val="106BBE"/>
    </w:rPr>
  </w:style>
  <w:style w:type="character" w:styleId="Style15">
    <w:name w:val="Интернет-ссылка"/>
    <w:basedOn w:val="DefaultParagraphFont"/>
    <w:uiPriority w:val="99"/>
    <w:rsid w:val="009e6313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b66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a0996"/>
    <w:rPr>
      <w:rFonts w:cs="Times New Roman"/>
      <w:color w:val="808080"/>
    </w:rPr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>
      <w:rFonts w:ascii="Times New Roman" w:hAnsi="Times New Roman" w:eastAsia="Times New Roman" w:cs="Times New Roman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HeaderChar"/>
    <w:uiPriority w:val="99"/>
    <w:rsid w:val="00bd4ad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b66ed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99"/>
    <w:rsid w:val="000d4df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/>
      <w:tblPr/>
      <w:tcPr>
        <w:shd w:val="clear" w:color="auto" w:fill="E5DFEC"/>
      </w:tcPr>
    </w:tblStylePr>
  </w:style>
  <w:style w:type="table" w:styleId="TableGrid">
    <w:name w:val="Table Grid"/>
    <w:basedOn w:val="TableNormal"/>
    <w:uiPriority w:val="99"/>
    <w:rsid w:val="00195131"/>
    <w:rPr>
      <w:sz w:val="20"/>
      <w:szCs w:val="20"/>
    </w:rPr>
    <w:tblPr>
      <w:tblInd w:w="0" w:type="dxa"/>
      <w:tblBorders>
        <w:top w:val="double" w:color="002060" w:sz="4" w:space="0"/>
        <w:left w:val="double" w:color="002060" w:sz="4" w:space="0"/>
        <w:bottom w:val="double" w:color="002060" w:sz="4" w:space="0"/>
        <w:right w:val="double" w:color="002060" w:sz="4" w:space="0"/>
        <w:insideH w:val="double" w:color="002060" w:sz="4" w:space="0"/>
        <w:insideV w:val="double" w:color="00206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</w:style>
  <w:style w:type="table" w:customStyle="1" w:styleId="1">
    <w:name w:val="Стиль1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Стиль мой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092e26"/>
    <w:rPr>
      <w:sz w:val="20"/>
      <w:szCs w:val="20"/>
    </w:rPr>
    <w:tblPr>
      <w:tblStyleRowBandSize w:val="1"/>
      <w:tblStyleColBandSize w:val="1"/>
      <w:tblInd w:w="0" w:type="dxa"/>
      <w:tblBorders>
        <w:top w:val="single" w:color="D99594" w:sz="2" w:space="0"/>
        <w:bottom w:val="single" w:color="D99594" w:sz="2" w:space="0"/>
        <w:insideH w:val="single" w:color="D99594" w:sz="2" w:space="0"/>
        <w:insideV w:val="single" w:color="D99594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Application>LibreOffice/5.3.4.2$Windows_x86 LibreOffice_project/f82d347ccc0be322489bf7da61d7e4ad13fe2ff3</Application>
  <Pages>4</Pages>
  <Words>746</Words>
  <Characters>5609</Characters>
  <CharactersWithSpaces>6392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2019-10-07T11:24:00Z</dcterms:created>
  <dc:creator>Анисимова Мария Николаевна</dc:creator>
  <dc:description/>
  <dc:language>ru-RU</dc:language>
  <cp:lastModifiedBy/>
  <cp:lastPrinted>2019-08-13T16:31:00Z</cp:lastPrinted>
  <dcterms:modified xsi:type="dcterms:W3CDTF">2020-02-27T11:48:32Z</dcterms:modified>
  <cp:revision>7</cp:revision>
  <dc:subject/>
  <dc:title>ЭКОНОМИЧЕСКОЕ ОБОСНОВАНИЕ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