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BFE" w:rsidRDefault="004C4BFE" w:rsidP="004C4BFE">
      <w:pPr>
        <w:jc w:val="right"/>
      </w:pPr>
      <w:r>
        <w:t>Проект</w:t>
      </w:r>
    </w:p>
    <w:p w:rsidR="004C4BFE" w:rsidRPr="00884EA1" w:rsidRDefault="004C4BFE" w:rsidP="004C4BFE">
      <w:pPr>
        <w:jc w:val="center"/>
      </w:pPr>
      <w:r w:rsidRPr="00884EA1">
        <w:t>ПАСПОРТ</w:t>
      </w:r>
    </w:p>
    <w:p w:rsidR="004C4BFE" w:rsidRPr="00884EA1" w:rsidRDefault="004C4BFE" w:rsidP="004C4BFE">
      <w:pPr>
        <w:jc w:val="center"/>
      </w:pPr>
      <w:r w:rsidRPr="00884EA1">
        <w:t>муниципальной программы</w:t>
      </w:r>
    </w:p>
    <w:p w:rsidR="004C4BFE" w:rsidRPr="00884EA1" w:rsidRDefault="004C4BFE" w:rsidP="004C4BFE">
      <w:pPr>
        <w:jc w:val="center"/>
      </w:pPr>
      <w:r w:rsidRPr="00884EA1">
        <w:t>«</w:t>
      </w:r>
      <w:r w:rsidR="001A401F" w:rsidRPr="001A401F">
        <w:t xml:space="preserve">Эффективное управление </w:t>
      </w:r>
      <w:r w:rsidR="00AA7144" w:rsidRPr="001A401F">
        <w:t>муниципальными финансами</w:t>
      </w:r>
      <w:r w:rsidR="001A401F" w:rsidRPr="001A401F">
        <w:t xml:space="preserve"> </w:t>
      </w:r>
      <w:r w:rsidR="001A401F">
        <w:br/>
      </w:r>
      <w:r w:rsidR="001A401F" w:rsidRPr="001A401F">
        <w:t>и п</w:t>
      </w:r>
      <w:r w:rsidR="001A401F">
        <w:t>овышение финансовой грамотности</w:t>
      </w:r>
      <w:r w:rsidRPr="00884EA1">
        <w:t>»</w:t>
      </w:r>
    </w:p>
    <w:p w:rsidR="004C4BFE" w:rsidRPr="00884EA1" w:rsidRDefault="004C4BFE" w:rsidP="004C4B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03"/>
      </w:tblGrid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Наименование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>«</w:t>
            </w:r>
            <w:r w:rsidR="001A401F" w:rsidRPr="001A401F">
              <w:t xml:space="preserve">Эффективное управление </w:t>
            </w:r>
            <w:r w:rsidR="00AA7144" w:rsidRPr="001A401F">
              <w:t>муниципальными финансами</w:t>
            </w:r>
            <w:r w:rsidR="001A401F" w:rsidRPr="001A401F">
              <w:t xml:space="preserve"> и п</w:t>
            </w:r>
            <w:r w:rsidR="001A401F">
              <w:t>овышение финансовой грамотности</w:t>
            </w:r>
            <w:r w:rsidRPr="00884EA1">
              <w:t>»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Ответственный исполнитель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 xml:space="preserve">Финансовое управление администрации </w:t>
            </w:r>
            <w:r>
              <w:t>Приморского муниципального округа Архангельской области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Соисполнители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>нет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Участники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 xml:space="preserve">Управление образования администрации </w:t>
            </w:r>
            <w:r>
              <w:t>Приморского муниципального округа Архангельской области</w:t>
            </w:r>
            <w:r w:rsidRPr="00884EA1">
              <w:t>,</w:t>
            </w:r>
          </w:p>
          <w:p w:rsidR="004C4BFE" w:rsidRPr="00884EA1" w:rsidRDefault="004C4BFE" w:rsidP="005222CC">
            <w:r w:rsidRPr="00884EA1">
              <w:t xml:space="preserve">администрация </w:t>
            </w:r>
            <w:r>
              <w:t>Приморского муниципального округа Архангельской области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Подпрограммы, в том числе ведомственные целевые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>нет</w:t>
            </w:r>
          </w:p>
        </w:tc>
      </w:tr>
      <w:tr w:rsidR="004C4BFE" w:rsidRPr="00884EA1" w:rsidTr="005222CC">
        <w:trPr>
          <w:trHeight w:val="1077"/>
        </w:trPr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Цели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pPr>
              <w:autoSpaceDE w:val="0"/>
              <w:autoSpaceDN w:val="0"/>
              <w:adjustRightInd w:val="0"/>
            </w:pPr>
            <w:r w:rsidRPr="00884EA1">
              <w:t xml:space="preserve">Обеспечение долгосрочной сбалансированности и устойчивости бюджетной системы </w:t>
            </w:r>
            <w:r>
              <w:t>Приморского муниципального округа Архангельской области</w:t>
            </w:r>
            <w:r w:rsidRPr="00884EA1">
              <w:t>; содействие формированию разумного финансового поведения населения, его ответственного участия на рынках финансовых услуг</w:t>
            </w:r>
          </w:p>
          <w:p w:rsidR="004C4BFE" w:rsidRPr="00884EA1" w:rsidRDefault="004C4BFE" w:rsidP="005222CC">
            <w:pPr>
              <w:autoSpaceDE w:val="0"/>
              <w:autoSpaceDN w:val="0"/>
              <w:adjustRightInd w:val="0"/>
            </w:pP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Задачи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Default="004C4BFE" w:rsidP="005222CC">
            <w:r>
              <w:t>1. Эффективная организация и обеспечение бюджетного процесса.</w:t>
            </w:r>
          </w:p>
          <w:p w:rsidR="004C4BFE" w:rsidRDefault="004C4BFE" w:rsidP="005222CC">
            <w:r>
              <w:t xml:space="preserve">2. Создание условий для устойчивого исполнения бюджетов сельских поселений муниципального образования «Приморский муниципальный </w:t>
            </w:r>
            <w:r w:rsidR="003B6E68">
              <w:t>район</w:t>
            </w:r>
            <w:bookmarkStart w:id="0" w:name="_GoBack"/>
            <w:bookmarkEnd w:id="0"/>
            <w:r>
              <w:t>».</w:t>
            </w:r>
          </w:p>
          <w:p w:rsidR="004C4BFE" w:rsidRDefault="004C4BFE" w:rsidP="005222CC">
            <w:r>
              <w:t>3. Эффективное управление муниципальным долгом муниципального образования «Приморский муниципальный район».</w:t>
            </w:r>
          </w:p>
          <w:p w:rsidR="004C4BFE" w:rsidRPr="00884EA1" w:rsidRDefault="004C4BFE" w:rsidP="005222CC">
            <w:r>
              <w:t>4. Организация образовательных и просветительских мероприятий по финансовой грамотности.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Целевые показатели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F667E5" w:rsidRDefault="004C4BFE" w:rsidP="004C4BFE">
            <w:pPr>
              <w:numPr>
                <w:ilvl w:val="0"/>
                <w:numId w:val="1"/>
              </w:numPr>
              <w:tabs>
                <w:tab w:val="left" w:pos="200"/>
                <w:tab w:val="left" w:pos="317"/>
              </w:tabs>
              <w:autoSpaceDE w:val="0"/>
              <w:autoSpaceDN w:val="0"/>
              <w:adjustRightInd w:val="0"/>
              <w:ind w:left="0" w:firstLine="0"/>
            </w:pPr>
            <w:r>
              <w:t xml:space="preserve">Предоставление целевых межбюджетных трансфертов сельским поселениям </w:t>
            </w:r>
            <w:r w:rsidRPr="000F5AE0">
              <w:t xml:space="preserve">Приморского муниципального района </w:t>
            </w:r>
            <w:r>
              <w:t>при наличии установленных</w:t>
            </w:r>
            <w:r w:rsidRPr="00B97564">
              <w:t xml:space="preserve"> </w:t>
            </w:r>
            <w:r>
              <w:t>порядков</w:t>
            </w:r>
            <w:r w:rsidRPr="00F667E5">
              <w:t>;</w:t>
            </w:r>
          </w:p>
          <w:p w:rsidR="004C4BFE" w:rsidRDefault="004C4BFE" w:rsidP="004C4BFE">
            <w:pPr>
              <w:numPr>
                <w:ilvl w:val="0"/>
                <w:numId w:val="1"/>
              </w:numPr>
              <w:tabs>
                <w:tab w:val="left" w:pos="357"/>
              </w:tabs>
              <w:ind w:left="0" w:firstLine="0"/>
            </w:pPr>
            <w:r w:rsidRPr="00253874">
              <w:t xml:space="preserve">Соотношение среднего уровня расчетной бюджетной обеспеченности 3-х наиболее обеспеченных сельских поселений Приморского муниципального района после выравнивания и осуществления мер финансовой поддержки, направленных на обеспечение сбалансированности бюджетов сельских поселений, со средним уровнем расчетной бюджетной обеспеченности 3-х наименее обеспеченных сельских поселений Приморского муниципального района после выравнивания и осуществления мер финансовой поддержки, направленных на обеспечение </w:t>
            </w:r>
            <w:r w:rsidRPr="00253874">
              <w:lastRenderedPageBreak/>
              <w:t>сбалансированности бюджетов сельских поселений</w:t>
            </w:r>
            <w:r>
              <w:t>;</w:t>
            </w:r>
          </w:p>
          <w:p w:rsidR="004C4BFE" w:rsidRDefault="004C4BFE" w:rsidP="004C4BFE">
            <w:pPr>
              <w:numPr>
                <w:ilvl w:val="0"/>
                <w:numId w:val="1"/>
              </w:numPr>
              <w:tabs>
                <w:tab w:val="left" w:pos="357"/>
              </w:tabs>
              <w:ind w:left="0" w:firstLine="0"/>
              <w:jc w:val="both"/>
            </w:pPr>
            <w:r w:rsidRPr="000A0A50">
              <w:t>Соблюдение ограничений по уровню расходов на</w:t>
            </w:r>
            <w:r>
              <w:t xml:space="preserve"> обслуживание</w:t>
            </w:r>
            <w:r w:rsidRPr="000A0A50">
              <w:t xml:space="preserve"> муниципального долга</w:t>
            </w:r>
            <w:r w:rsidRPr="00737913">
              <w:t>;</w:t>
            </w:r>
          </w:p>
          <w:p w:rsidR="004C4BFE" w:rsidRPr="00737913" w:rsidRDefault="004C4BFE" w:rsidP="004C4BFE">
            <w:pPr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adjustRightInd w:val="0"/>
              <w:ind w:left="0" w:firstLine="0"/>
            </w:pPr>
            <w:r w:rsidRPr="00737913">
              <w:t xml:space="preserve">Количество </w:t>
            </w:r>
            <w:r>
              <w:t>человек</w:t>
            </w:r>
            <w:r w:rsidRPr="00737913">
              <w:t>, охваченных мероприятиями, направленными на повышение финансовой грамотности.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lastRenderedPageBreak/>
              <w:t>Сроки и этапы реализации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>2020 – 2026 годы.</w:t>
            </w:r>
          </w:p>
          <w:p w:rsidR="004C4BFE" w:rsidRPr="00884EA1" w:rsidRDefault="004C4BFE" w:rsidP="005222CC">
            <w:r w:rsidRPr="00884EA1">
              <w:t>Муниципальная программа реализуется в один этап.</w:t>
            </w:r>
          </w:p>
        </w:tc>
      </w:tr>
      <w:tr w:rsidR="004C4BFE" w:rsidRPr="00884EA1" w:rsidTr="005222CC">
        <w:tc>
          <w:tcPr>
            <w:tcW w:w="2268" w:type="dxa"/>
            <w:shd w:val="clear" w:color="auto" w:fill="auto"/>
          </w:tcPr>
          <w:p w:rsidR="004C4BFE" w:rsidRPr="00884EA1" w:rsidRDefault="004C4BFE" w:rsidP="005222CC">
            <w:r w:rsidRPr="00884EA1">
              <w:t>Объемы бюджетных ассигнований муниципальной программы</w:t>
            </w:r>
          </w:p>
        </w:tc>
        <w:tc>
          <w:tcPr>
            <w:tcW w:w="7303" w:type="dxa"/>
            <w:shd w:val="clear" w:color="auto" w:fill="auto"/>
          </w:tcPr>
          <w:p w:rsidR="004C4BFE" w:rsidRPr="00884EA1" w:rsidRDefault="004C4BFE" w:rsidP="005222CC">
            <w:r w:rsidRPr="00884EA1">
              <w:t xml:space="preserve">Общий объем финансирования – </w:t>
            </w:r>
            <w:r w:rsidRPr="00884EA1">
              <w:rPr>
                <w:lang w:eastAsia="en-US"/>
              </w:rPr>
              <w:t>292 9</w:t>
            </w:r>
            <w:r>
              <w:rPr>
                <w:lang w:eastAsia="en-US"/>
              </w:rPr>
              <w:t xml:space="preserve">84,2 </w:t>
            </w:r>
            <w:r w:rsidRPr="00884EA1">
              <w:t>тыс. рублей,</w:t>
            </w:r>
          </w:p>
          <w:p w:rsidR="004C4BFE" w:rsidRPr="00884EA1" w:rsidRDefault="004C4BFE" w:rsidP="005222CC">
            <w:r w:rsidRPr="00884EA1">
              <w:t>в том числе:</w:t>
            </w:r>
          </w:p>
          <w:p w:rsidR="004C4BFE" w:rsidRPr="00884EA1" w:rsidRDefault="004C4BFE" w:rsidP="005222CC">
            <w:r w:rsidRPr="00884EA1">
              <w:t xml:space="preserve">средства федерального бюджета – </w:t>
            </w:r>
            <w:r w:rsidRPr="00884EA1">
              <w:rPr>
                <w:lang w:eastAsia="en-US"/>
              </w:rPr>
              <w:t>14 510,2</w:t>
            </w:r>
            <w:r>
              <w:rPr>
                <w:lang w:eastAsia="en-US"/>
              </w:rPr>
              <w:t xml:space="preserve"> </w:t>
            </w:r>
            <w:r w:rsidRPr="00884EA1">
              <w:t>тыс. рублей;</w:t>
            </w:r>
          </w:p>
          <w:p w:rsidR="004C4BFE" w:rsidRPr="00884EA1" w:rsidRDefault="004C4BFE" w:rsidP="005222CC">
            <w:r w:rsidRPr="00884EA1">
              <w:t xml:space="preserve">средства областного бюджета – </w:t>
            </w:r>
            <w:r w:rsidRPr="00884EA1">
              <w:rPr>
                <w:lang w:eastAsia="en-US"/>
              </w:rPr>
              <w:t>23 865,0</w:t>
            </w:r>
            <w:r>
              <w:rPr>
                <w:lang w:eastAsia="en-US"/>
              </w:rPr>
              <w:t xml:space="preserve"> </w:t>
            </w:r>
            <w:r w:rsidRPr="00884EA1">
              <w:t>тыс. рублей;</w:t>
            </w:r>
          </w:p>
          <w:p w:rsidR="004C4BFE" w:rsidRPr="00884EA1" w:rsidRDefault="004C4BFE" w:rsidP="005222CC">
            <w:r w:rsidRPr="00884EA1">
              <w:t xml:space="preserve">средства местного бюджета – </w:t>
            </w:r>
            <w:r w:rsidRPr="00884EA1">
              <w:rPr>
                <w:lang w:eastAsia="en-US"/>
              </w:rPr>
              <w:t>254</w:t>
            </w:r>
            <w:r>
              <w:rPr>
                <w:lang w:eastAsia="en-US"/>
              </w:rPr>
              <w:t xml:space="preserve"> 609,0 </w:t>
            </w:r>
            <w:r w:rsidRPr="00884EA1">
              <w:t>тыс. рублей;</w:t>
            </w:r>
          </w:p>
          <w:p w:rsidR="004C4BFE" w:rsidRPr="00884EA1" w:rsidRDefault="004C4BFE" w:rsidP="005222CC">
            <w:r w:rsidRPr="00884EA1">
              <w:t>иные источники – 0,0 тыс. рублей;</w:t>
            </w:r>
          </w:p>
          <w:p w:rsidR="004C4BFE" w:rsidRPr="00884EA1" w:rsidRDefault="004C4BFE" w:rsidP="005222CC">
            <w:r w:rsidRPr="00884EA1">
              <w:t>внебюджетные источники – 0,0 тыс. рублей.</w:t>
            </w:r>
          </w:p>
        </w:tc>
      </w:tr>
    </w:tbl>
    <w:p w:rsidR="004C4BFE" w:rsidRPr="00884EA1" w:rsidRDefault="004C4BFE" w:rsidP="004C4BFE"/>
    <w:p w:rsidR="00F856FD" w:rsidRDefault="00F856FD"/>
    <w:sectPr w:rsidR="00F8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E48A0"/>
    <w:multiLevelType w:val="hybridMultilevel"/>
    <w:tmpl w:val="D58E6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FE"/>
    <w:rsid w:val="001A401F"/>
    <w:rsid w:val="003B6E68"/>
    <w:rsid w:val="004C4BFE"/>
    <w:rsid w:val="004D5461"/>
    <w:rsid w:val="00AA7144"/>
    <w:rsid w:val="00F8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CF0675-62E1-4EDC-BEA7-A2787969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B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4B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Илязова Светлана Валентиновна</dc:creator>
  <cp:keywords/>
  <dc:description/>
  <cp:lastModifiedBy>Левенец Екатерина Викторовна</cp:lastModifiedBy>
  <cp:revision>5</cp:revision>
  <cp:lastPrinted>2023-12-05T07:27:00Z</cp:lastPrinted>
  <dcterms:created xsi:type="dcterms:W3CDTF">2023-11-15T07:30:00Z</dcterms:created>
  <dcterms:modified xsi:type="dcterms:W3CDTF">2023-12-05T07:38:00Z</dcterms:modified>
</cp:coreProperties>
</file>