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6B" w:rsidRPr="00AE5642" w:rsidRDefault="00C9736B" w:rsidP="00086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642">
        <w:rPr>
          <w:rFonts w:ascii="Times New Roman" w:hAnsi="Times New Roman"/>
          <w:b/>
          <w:sz w:val="28"/>
          <w:szCs w:val="28"/>
        </w:rPr>
        <w:t>2. Ставка</w:t>
      </w:r>
    </w:p>
    <w:p w:rsidR="00C9736B" w:rsidRPr="006B0C02" w:rsidRDefault="00C9736B" w:rsidP="00F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736B" w:rsidRPr="00024EEC" w:rsidRDefault="00C9736B" w:rsidP="00F67433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4EEC">
        <w:rPr>
          <w:rFonts w:ascii="Times New Roman" w:hAnsi="Times New Roman"/>
          <w:b/>
          <w:bCs/>
          <w:sz w:val="28"/>
          <w:szCs w:val="28"/>
          <w:lang w:eastAsia="ru-RU"/>
        </w:rPr>
        <w:t>Льготная процентная ставка:</w:t>
      </w:r>
    </w:p>
    <w:p w:rsidR="00C9736B" w:rsidRPr="00024EEC" w:rsidRDefault="00C9736B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C">
        <w:rPr>
          <w:rFonts w:ascii="Times New Roman" w:hAnsi="Times New Roman"/>
          <w:b/>
          <w:bCs/>
          <w:sz w:val="28"/>
          <w:szCs w:val="28"/>
          <w:lang w:eastAsia="ru-RU"/>
        </w:rPr>
        <w:t>При наличии личного страхования</w:t>
      </w:r>
      <w:r w:rsidRPr="00024E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736B" w:rsidRPr="00024EEC" w:rsidRDefault="00C9736B" w:rsidP="00F674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C">
        <w:rPr>
          <w:rFonts w:ascii="Times New Roman" w:hAnsi="Times New Roman"/>
          <w:sz w:val="28"/>
          <w:szCs w:val="28"/>
          <w:lang w:eastAsia="ru-RU"/>
        </w:rPr>
        <w:t>2,70 % </w:t>
      </w:r>
    </w:p>
    <w:p w:rsidR="00C9736B" w:rsidRPr="00024EEC" w:rsidRDefault="00C9736B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C">
        <w:rPr>
          <w:rFonts w:ascii="Times New Roman" w:hAnsi="Times New Roman"/>
          <w:b/>
          <w:bCs/>
          <w:sz w:val="28"/>
          <w:szCs w:val="28"/>
          <w:lang w:eastAsia="ru-RU"/>
        </w:rPr>
        <w:t>При отсутствии личного страхования</w:t>
      </w:r>
      <w:r w:rsidRPr="00024E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736B" w:rsidRPr="00024EEC" w:rsidRDefault="00C9736B" w:rsidP="00F674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C">
        <w:rPr>
          <w:rFonts w:ascii="Times New Roman" w:hAnsi="Times New Roman"/>
          <w:sz w:val="28"/>
          <w:szCs w:val="28"/>
          <w:lang w:eastAsia="ru-RU"/>
        </w:rPr>
        <w:t>3,00 % </w:t>
      </w:r>
    </w:p>
    <w:p w:rsidR="00C9736B" w:rsidRPr="00024EEC" w:rsidRDefault="00C9736B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D14"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9736B" w:rsidRPr="00024EEC" w:rsidRDefault="00C9736B" w:rsidP="00F67433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4EEC">
        <w:rPr>
          <w:rFonts w:ascii="Times New Roman" w:hAnsi="Times New Roman"/>
          <w:b/>
          <w:bCs/>
          <w:sz w:val="28"/>
          <w:szCs w:val="28"/>
          <w:lang w:eastAsia="ru-RU"/>
        </w:rPr>
        <w:t>Базовая процентная ставка</w:t>
      </w:r>
    </w:p>
    <w:p w:rsidR="00C9736B" w:rsidRPr="00024EEC" w:rsidRDefault="00C9736B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C">
        <w:rPr>
          <w:rFonts w:ascii="Times New Roman" w:hAnsi="Times New Roman"/>
          <w:sz w:val="28"/>
          <w:szCs w:val="28"/>
          <w:lang w:eastAsia="ru-RU"/>
        </w:rPr>
        <w:t>Льготная процентная ставка, увеличенная на размер Ключевой ставки Центрального банка Российской Федерации</w:t>
      </w:r>
      <w:r w:rsidRPr="00024EE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24EE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9736B" w:rsidRPr="00024EEC" w:rsidRDefault="00C9736B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D14">
        <w:rPr>
          <w:rFonts w:ascii="Times New Roman" w:hAnsi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C9736B" w:rsidRPr="00024EEC" w:rsidRDefault="00C9736B" w:rsidP="00F67433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4EEC">
        <w:rPr>
          <w:rFonts w:ascii="Times New Roman" w:hAnsi="Times New Roman"/>
          <w:b/>
          <w:bCs/>
          <w:sz w:val="28"/>
          <w:szCs w:val="28"/>
          <w:lang w:eastAsia="ru-RU"/>
        </w:rPr>
        <w:t>Стандартная процентная ставка</w:t>
      </w:r>
    </w:p>
    <w:p w:rsidR="00C9736B" w:rsidRPr="00024EEC" w:rsidRDefault="00C9736B" w:rsidP="00F674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C">
        <w:rPr>
          <w:rFonts w:ascii="Times New Roman" w:hAnsi="Times New Roman"/>
          <w:sz w:val="28"/>
          <w:szCs w:val="28"/>
          <w:lang w:eastAsia="ru-RU"/>
        </w:rPr>
        <w:t>11,50 % </w:t>
      </w:r>
    </w:p>
    <w:p w:rsidR="00C9736B" w:rsidRPr="00024EEC" w:rsidRDefault="00C9736B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D14">
        <w:rPr>
          <w:rFonts w:ascii="Times New Roman" w:hAnsi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C9736B" w:rsidRPr="00024EEC" w:rsidRDefault="00C9736B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C">
        <w:rPr>
          <w:rFonts w:ascii="Times New Roman" w:hAnsi="Times New Roman"/>
          <w:sz w:val="28"/>
          <w:szCs w:val="28"/>
          <w:lang w:eastAsia="ru-RU"/>
        </w:rPr>
        <w:t>Процентные ставки по ипотечному кредиту на строительство и покупку жилья на селе применяются следующим образом:</w:t>
      </w:r>
    </w:p>
    <w:p w:rsidR="00C9736B" w:rsidRPr="00024EEC" w:rsidRDefault="00C9736B" w:rsidP="00F674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C">
        <w:rPr>
          <w:rFonts w:ascii="Times New Roman" w:hAnsi="Times New Roman"/>
          <w:sz w:val="28"/>
          <w:szCs w:val="28"/>
          <w:lang w:eastAsia="ru-RU"/>
        </w:rPr>
        <w:t>льготная процентная ставка: с даты заключения кредитного договора по дату изменения льготной процентной ставки на базовую или стандартную процентную ставку при наступлении событий, определенных условиями кредитного договора;</w:t>
      </w:r>
    </w:p>
    <w:p w:rsidR="00C9736B" w:rsidRPr="00024EEC" w:rsidRDefault="00C9736B" w:rsidP="00F674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C">
        <w:rPr>
          <w:rFonts w:ascii="Times New Roman" w:hAnsi="Times New Roman"/>
          <w:sz w:val="28"/>
          <w:szCs w:val="28"/>
          <w:lang w:eastAsia="ru-RU"/>
        </w:rPr>
        <w:t>базовая процентная ставка: в случае отказа Министерства сельского хозяйства РФ (далее – Минсельхоз России) в предоставлении Банку субсидий, основанием для которого является недостаток бюджетных ассигнований и лимитов бюджетных обязательств, доведенных до Минсельхоза России как получателя средств федерального бюджета на цели, указанные в Правилах утвержденных постановлением Правительства РФ от 30.11.2019 № 1567 (далее – Правилах);</w:t>
      </w:r>
      <w:r w:rsidRPr="00024EEC">
        <w:rPr>
          <w:rFonts w:ascii="Times New Roman" w:hAnsi="Times New Roman"/>
          <w:sz w:val="28"/>
          <w:szCs w:val="28"/>
          <w:lang w:eastAsia="ru-RU"/>
        </w:rPr>
        <w:br/>
        <w:t>    а) нарушение заемщиком целей использования кредита, указанных в Правилах;</w:t>
      </w:r>
      <w:r w:rsidRPr="00024EEC">
        <w:rPr>
          <w:rFonts w:ascii="Times New Roman" w:hAnsi="Times New Roman"/>
          <w:sz w:val="28"/>
          <w:szCs w:val="28"/>
          <w:lang w:eastAsia="ru-RU"/>
        </w:rPr>
        <w:br/>
        <w:t>    б) невыполнение заемщиком обязательств по погашению основного долга и уплате начисленных процентов в соответствии с графиком платежей по кредитному договору (за исключением случая (случаев) возникновения в течение последних 180 календарных дней просроченных платежей по основному долгу и (или) процентам продолжительностью (общей продолжительностью) до 90 календарных дней включительно) до момента исполнения заемщиком своих просроченных обязательств по погашению основного долга, уплате начисленных процентов по кредитному договору.</w:t>
      </w:r>
    </w:p>
    <w:p w:rsidR="00C9736B" w:rsidRPr="00024EEC" w:rsidRDefault="00C9736B" w:rsidP="00F67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24EEC">
        <w:rPr>
          <w:rFonts w:ascii="Times New Roman" w:hAnsi="Times New Roman"/>
          <w:sz w:val="28"/>
          <w:szCs w:val="28"/>
          <w:lang w:eastAsia="ru-RU"/>
        </w:rPr>
        <w:t xml:space="preserve">Размер ключевой ставки Центрального банка РФ устанавливается в размере, действующем на дату изменения льготной процентной ставки на базовую процентную ставку. </w:t>
      </w:r>
    </w:p>
    <w:p w:rsidR="00C9736B" w:rsidRPr="00B20627" w:rsidRDefault="00C9736B" w:rsidP="00F6743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C02">
        <w:rPr>
          <w:rFonts w:ascii="Times New Roman" w:hAnsi="Times New Roman"/>
          <w:sz w:val="28"/>
          <w:szCs w:val="28"/>
          <w:lang w:eastAsia="ru-RU"/>
        </w:rPr>
        <w:t>Более подробную информацию об уровне процентных ставок можно узнать в территориальных под</w:t>
      </w:r>
      <w:r>
        <w:rPr>
          <w:rFonts w:ascii="Times New Roman" w:hAnsi="Times New Roman"/>
          <w:sz w:val="28"/>
          <w:szCs w:val="28"/>
          <w:lang w:eastAsia="ru-RU"/>
        </w:rPr>
        <w:t>разделениях АО «Россельхозбанк».</w:t>
      </w:r>
    </w:p>
    <w:sectPr w:rsidR="00C9736B" w:rsidRPr="00B20627" w:rsidSect="0020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306"/>
    <w:multiLevelType w:val="multilevel"/>
    <w:tmpl w:val="E60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01A2E"/>
    <w:multiLevelType w:val="multilevel"/>
    <w:tmpl w:val="242A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F782E"/>
    <w:multiLevelType w:val="multilevel"/>
    <w:tmpl w:val="7F7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B460E"/>
    <w:multiLevelType w:val="multilevel"/>
    <w:tmpl w:val="86F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072D9"/>
    <w:multiLevelType w:val="multilevel"/>
    <w:tmpl w:val="6F3E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7201F"/>
    <w:multiLevelType w:val="multilevel"/>
    <w:tmpl w:val="F526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15AE3"/>
    <w:multiLevelType w:val="multilevel"/>
    <w:tmpl w:val="E61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356"/>
    <w:multiLevelType w:val="multilevel"/>
    <w:tmpl w:val="E40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E3921"/>
    <w:multiLevelType w:val="multilevel"/>
    <w:tmpl w:val="F0C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65B9D"/>
    <w:multiLevelType w:val="multilevel"/>
    <w:tmpl w:val="C84C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1D8"/>
    <w:rsid w:val="00024EEC"/>
    <w:rsid w:val="0008650B"/>
    <w:rsid w:val="000E1F6F"/>
    <w:rsid w:val="00205D14"/>
    <w:rsid w:val="006B0C02"/>
    <w:rsid w:val="007145F8"/>
    <w:rsid w:val="00784FB3"/>
    <w:rsid w:val="00986209"/>
    <w:rsid w:val="00A1425D"/>
    <w:rsid w:val="00A231D8"/>
    <w:rsid w:val="00AE5642"/>
    <w:rsid w:val="00B20627"/>
    <w:rsid w:val="00C9736B"/>
    <w:rsid w:val="00EC56B1"/>
    <w:rsid w:val="00F0276D"/>
    <w:rsid w:val="00F6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1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1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0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Васильевна</dc:creator>
  <cp:keywords/>
  <dc:description/>
  <cp:lastModifiedBy>uprec05</cp:lastModifiedBy>
  <cp:revision>12</cp:revision>
  <dcterms:created xsi:type="dcterms:W3CDTF">2020-03-04T09:56:00Z</dcterms:created>
  <dcterms:modified xsi:type="dcterms:W3CDTF">2020-05-25T10:33:00Z</dcterms:modified>
</cp:coreProperties>
</file>