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</w:t>
      </w:r>
    </w:p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F540A">
        <w:rPr>
          <w:rFonts w:ascii="Times New Roman" w:hAnsi="Times New Roman" w:cs="Times New Roman"/>
          <w:b/>
          <w:sz w:val="28"/>
          <w:szCs w:val="28"/>
        </w:rPr>
        <w:t xml:space="preserve">Эффективное управление муниципальными финансами </w:t>
      </w:r>
      <w:r>
        <w:rPr>
          <w:rFonts w:ascii="Times New Roman" w:hAnsi="Times New Roman" w:cs="Times New Roman"/>
          <w:b/>
          <w:sz w:val="28"/>
          <w:szCs w:val="28"/>
        </w:rPr>
        <w:t>и повышение финансовой грамотности на территории Приморского района»</w:t>
      </w:r>
    </w:p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по итогам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040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E49" w:rsidRPr="0089777A" w:rsidRDefault="00A03E49" w:rsidP="00A03E49">
      <w:pPr>
        <w:pStyle w:val="ConsPlusNormal"/>
        <w:widowControl/>
        <w:ind w:firstLine="0"/>
        <w:jc w:val="both"/>
        <w:rPr>
          <w:highlight w:val="yellow"/>
        </w:rPr>
      </w:pPr>
    </w:p>
    <w:p w:rsidR="00A03E49" w:rsidRPr="0089777A" w:rsidRDefault="00A03E49" w:rsidP="00A03E49">
      <w:pPr>
        <w:pStyle w:val="ConsPlusNormal"/>
        <w:widowControl/>
        <w:ind w:firstLine="540"/>
        <w:jc w:val="both"/>
        <w:rPr>
          <w:highlight w:val="yellow"/>
        </w:rPr>
      </w:pPr>
      <w:r w:rsidRPr="0089777A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:rsidR="00A03E49" w:rsidRPr="00804032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32">
        <w:rPr>
          <w:rFonts w:ascii="Times New Roman" w:hAnsi="Times New Roman" w:cs="Times New Roman"/>
          <w:sz w:val="26"/>
          <w:szCs w:val="26"/>
        </w:rPr>
        <w:t>1. Сведения о реализации муниципальной программы по итогам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0403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03E49" w:rsidRDefault="00A03E49" w:rsidP="00A03E49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804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804032">
        <w:rPr>
          <w:sz w:val="26"/>
          <w:szCs w:val="26"/>
        </w:rPr>
        <w:t>1) реализация муниципальной программы «Эффективное управление муниципальными финансами</w:t>
      </w:r>
      <w:r>
        <w:rPr>
          <w:sz w:val="26"/>
          <w:szCs w:val="26"/>
        </w:rPr>
        <w:t xml:space="preserve"> и повышение финансовой грамотности на территории Приморского района»</w:t>
      </w:r>
      <w:r w:rsidRPr="00804032">
        <w:rPr>
          <w:sz w:val="26"/>
          <w:szCs w:val="26"/>
        </w:rPr>
        <w:t>, утвержденной постановлением местной администрации  от 3</w:t>
      </w:r>
      <w:r>
        <w:rPr>
          <w:sz w:val="26"/>
          <w:szCs w:val="26"/>
        </w:rPr>
        <w:t>0</w:t>
      </w:r>
      <w:r w:rsidRPr="00804032">
        <w:rPr>
          <w:sz w:val="26"/>
          <w:szCs w:val="26"/>
        </w:rPr>
        <w:t>.10.201</w:t>
      </w:r>
      <w:r>
        <w:rPr>
          <w:sz w:val="26"/>
          <w:szCs w:val="26"/>
        </w:rPr>
        <w:t xml:space="preserve">9 года </w:t>
      </w:r>
      <w:r w:rsidRPr="00804032">
        <w:rPr>
          <w:sz w:val="26"/>
          <w:szCs w:val="26"/>
        </w:rPr>
        <w:t xml:space="preserve">№ </w:t>
      </w:r>
      <w:r>
        <w:rPr>
          <w:sz w:val="26"/>
          <w:szCs w:val="26"/>
        </w:rPr>
        <w:t>2321</w:t>
      </w:r>
      <w:r w:rsidRPr="00804032">
        <w:rPr>
          <w:sz w:val="26"/>
          <w:szCs w:val="26"/>
        </w:rPr>
        <w:t xml:space="preserve">  «Об утверждении муниципальной программы муниципального образования «Приморский муниципальный район» «Эффективное управление муниципальными финансами</w:t>
      </w:r>
      <w:r>
        <w:rPr>
          <w:sz w:val="26"/>
          <w:szCs w:val="26"/>
        </w:rPr>
        <w:t xml:space="preserve"> и повышение финансовой грамотности на территории Приморского района</w:t>
      </w:r>
      <w:r w:rsidRPr="00804032">
        <w:rPr>
          <w:sz w:val="26"/>
          <w:szCs w:val="26"/>
        </w:rPr>
        <w:t xml:space="preserve">» (в последней редакции постановления от </w:t>
      </w:r>
      <w:r>
        <w:rPr>
          <w:sz w:val="26"/>
          <w:szCs w:val="26"/>
        </w:rPr>
        <w:t>26</w:t>
      </w:r>
      <w:r w:rsidRPr="00804032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804032">
        <w:rPr>
          <w:sz w:val="26"/>
          <w:szCs w:val="26"/>
        </w:rPr>
        <w:t xml:space="preserve"> № 2</w:t>
      </w:r>
      <w:r>
        <w:rPr>
          <w:sz w:val="26"/>
          <w:szCs w:val="26"/>
        </w:rPr>
        <w:t>852), (далее – П</w:t>
      </w:r>
      <w:r w:rsidRPr="00804032">
        <w:rPr>
          <w:sz w:val="26"/>
          <w:szCs w:val="26"/>
        </w:rPr>
        <w:t>рограмма), в 20</w:t>
      </w:r>
      <w:r>
        <w:rPr>
          <w:sz w:val="26"/>
          <w:szCs w:val="26"/>
        </w:rPr>
        <w:t>20</w:t>
      </w:r>
      <w:r w:rsidRPr="00804032">
        <w:rPr>
          <w:sz w:val="26"/>
          <w:szCs w:val="26"/>
        </w:rPr>
        <w:t xml:space="preserve"> году </w:t>
      </w:r>
      <w:r w:rsidRPr="00D474C0">
        <w:rPr>
          <w:sz w:val="26"/>
          <w:szCs w:val="26"/>
        </w:rPr>
        <w:t xml:space="preserve">осуществлялась ответственным исполнителем </w:t>
      </w:r>
      <w:r>
        <w:rPr>
          <w:sz w:val="26"/>
          <w:szCs w:val="26"/>
        </w:rPr>
        <w:t>П</w:t>
      </w:r>
      <w:r w:rsidRPr="00D474C0">
        <w:rPr>
          <w:sz w:val="26"/>
          <w:szCs w:val="26"/>
        </w:rPr>
        <w:t xml:space="preserve">рограммы – Финансовым управлением администрации муниципального образования «Приморский муниципальный </w:t>
      </w:r>
      <w:r w:rsidRPr="002051E8">
        <w:rPr>
          <w:sz w:val="26"/>
          <w:szCs w:val="26"/>
        </w:rPr>
        <w:t>район» и участником Программы - Управлением  образования администрации муниципального образования «Приморский муниципальный район».</w:t>
      </w:r>
      <w:r w:rsidRPr="00804032">
        <w:rPr>
          <w:sz w:val="26"/>
          <w:szCs w:val="26"/>
        </w:rPr>
        <w:t xml:space="preserve"> Программа не имеет подпрограмм.</w:t>
      </w:r>
    </w:p>
    <w:p w:rsidR="00A03E49" w:rsidRPr="00E7317E" w:rsidRDefault="00A03E49" w:rsidP="00A03E4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372B9">
        <w:rPr>
          <w:sz w:val="26"/>
          <w:szCs w:val="26"/>
        </w:rPr>
        <w:t xml:space="preserve">            В 2020 году успешно достигнуты цели создания </w:t>
      </w:r>
      <w:r>
        <w:rPr>
          <w:sz w:val="26"/>
          <w:szCs w:val="26"/>
        </w:rPr>
        <w:t>П</w:t>
      </w:r>
      <w:r w:rsidRPr="000372B9">
        <w:rPr>
          <w:sz w:val="26"/>
          <w:szCs w:val="26"/>
        </w:rPr>
        <w:t xml:space="preserve">рограммы – </w:t>
      </w:r>
      <w:r w:rsidRPr="00E7317E">
        <w:rPr>
          <w:sz w:val="26"/>
          <w:szCs w:val="26"/>
        </w:rPr>
        <w:t>обеспечение долгосрочной сбалансированности и устойчивости бюджетной системы муниципального образования «Приморский муниципальный район»; содействие формированию разумного финансового поведения населения, его ответственного участия на рынках финансовых услуг</w:t>
      </w:r>
      <w:r>
        <w:rPr>
          <w:sz w:val="26"/>
          <w:szCs w:val="26"/>
        </w:rPr>
        <w:t>, в том числе через решение задач программы.</w:t>
      </w:r>
    </w:p>
    <w:p w:rsidR="00A03E49" w:rsidRDefault="00A03E49" w:rsidP="00A03E4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рамках задачи «Э</w:t>
      </w:r>
      <w:r w:rsidRPr="00E43D4D">
        <w:rPr>
          <w:sz w:val="26"/>
          <w:szCs w:val="26"/>
        </w:rPr>
        <w:t>ффективная организация и обеспечение бюджетного процесса</w:t>
      </w:r>
      <w:r>
        <w:rPr>
          <w:sz w:val="26"/>
          <w:szCs w:val="26"/>
        </w:rPr>
        <w:t>»</w:t>
      </w:r>
      <w:r w:rsidRPr="00E43D4D">
        <w:rPr>
          <w:sz w:val="26"/>
          <w:szCs w:val="26"/>
        </w:rPr>
        <w:t xml:space="preserve"> в муниципальном образовании «Приморский муниципальный район»</w:t>
      </w:r>
      <w:r>
        <w:rPr>
          <w:sz w:val="26"/>
          <w:szCs w:val="26"/>
        </w:rPr>
        <w:t xml:space="preserve"> Архангельской области </w:t>
      </w:r>
      <w:r w:rsidRPr="00E43D4D">
        <w:rPr>
          <w:sz w:val="26"/>
          <w:szCs w:val="26"/>
        </w:rPr>
        <w:t xml:space="preserve">разработаны и приняты следующие нормативные правовые акты: распоряжение местной администрации от 5 июня 2020 года № 151р «О разработке проекта бюджета муниципального образования «Приморский муниципальный район» на 2021 год и плановый период 2022 и 2023 годов», постановление местной администрации от 28 сентября 2020 года № 1887 «Об  основных направлениях бюджетной политики на территории Приморского муниципального района и основных направлениях налоговой политики на территории Приморского муниципального района на 2021 год и на среднесрочную </w:t>
      </w:r>
      <w:r>
        <w:rPr>
          <w:sz w:val="26"/>
          <w:szCs w:val="26"/>
        </w:rPr>
        <w:t xml:space="preserve">  </w:t>
      </w:r>
      <w:r w:rsidRPr="00E43D4D">
        <w:rPr>
          <w:sz w:val="26"/>
          <w:szCs w:val="26"/>
        </w:rPr>
        <w:t>перспективу</w:t>
      </w:r>
      <w:r w:rsidRPr="007D43AD">
        <w:rPr>
          <w:sz w:val="26"/>
          <w:szCs w:val="26"/>
        </w:rPr>
        <w:t xml:space="preserve">», </w:t>
      </w:r>
      <w:r w:rsidRPr="007D43AD">
        <w:rPr>
          <w:bCs/>
          <w:sz w:val="26"/>
          <w:szCs w:val="26"/>
        </w:rPr>
        <w:t xml:space="preserve">решение </w:t>
      </w:r>
      <w:r>
        <w:rPr>
          <w:bCs/>
          <w:sz w:val="26"/>
          <w:szCs w:val="26"/>
        </w:rPr>
        <w:t xml:space="preserve">  </w:t>
      </w:r>
      <w:r w:rsidRPr="007D43AD">
        <w:rPr>
          <w:bCs/>
          <w:sz w:val="26"/>
          <w:szCs w:val="26"/>
        </w:rPr>
        <w:t xml:space="preserve">Собрания депутатов от 10 </w:t>
      </w:r>
      <w:r>
        <w:rPr>
          <w:bCs/>
          <w:sz w:val="26"/>
          <w:szCs w:val="26"/>
        </w:rPr>
        <w:t xml:space="preserve"> </w:t>
      </w:r>
      <w:r w:rsidRPr="007D43AD">
        <w:rPr>
          <w:bCs/>
          <w:sz w:val="26"/>
          <w:szCs w:val="26"/>
        </w:rPr>
        <w:t xml:space="preserve">декабря </w:t>
      </w:r>
      <w:r w:rsidRPr="007D43AD">
        <w:rPr>
          <w:sz w:val="26"/>
          <w:szCs w:val="26"/>
        </w:rPr>
        <w:t xml:space="preserve">2020 года </w:t>
      </w:r>
    </w:p>
    <w:p w:rsidR="00A03E49" w:rsidRPr="007D43AD" w:rsidRDefault="00A03E49" w:rsidP="00A03E49">
      <w:pPr>
        <w:jc w:val="both"/>
        <w:rPr>
          <w:sz w:val="26"/>
          <w:szCs w:val="26"/>
        </w:rPr>
      </w:pPr>
      <w:r w:rsidRPr="007D43AD">
        <w:rPr>
          <w:sz w:val="26"/>
          <w:szCs w:val="26"/>
        </w:rPr>
        <w:t>№ 222 «О бюджете муниципального образования «Приморский муниципальный район» на 2021 год и плановый период 2022 и 2023 годов»;</w:t>
      </w:r>
    </w:p>
    <w:p w:rsidR="00A03E49" w:rsidRPr="00161961" w:rsidRDefault="00A03E49" w:rsidP="00A03E49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рамках задачи «С</w:t>
      </w:r>
      <w:r w:rsidRPr="00482DCF">
        <w:rPr>
          <w:sz w:val="26"/>
          <w:szCs w:val="26"/>
        </w:rPr>
        <w:t>оздание условий для устойчивого исполнения бюджетов муниципальных образований поселений муниципального образования «П</w:t>
      </w:r>
      <w:r>
        <w:rPr>
          <w:sz w:val="26"/>
          <w:szCs w:val="26"/>
        </w:rPr>
        <w:t xml:space="preserve">риморский муниципальный район» Архангельской области» </w:t>
      </w:r>
      <w:r w:rsidRPr="00161961">
        <w:rPr>
          <w:sz w:val="26"/>
          <w:szCs w:val="26"/>
        </w:rPr>
        <w:t xml:space="preserve">вся финансовая помощь, запланированная по Программе на 2020 год </w:t>
      </w:r>
      <w:r w:rsidRPr="006011EA">
        <w:rPr>
          <w:sz w:val="26"/>
          <w:szCs w:val="26"/>
        </w:rPr>
        <w:t xml:space="preserve">для муниципальных образований поселений, предоставлена </w:t>
      </w:r>
      <w:r>
        <w:rPr>
          <w:sz w:val="26"/>
          <w:szCs w:val="26"/>
        </w:rPr>
        <w:t xml:space="preserve">им </w:t>
      </w:r>
      <w:r w:rsidRPr="006011EA">
        <w:rPr>
          <w:sz w:val="26"/>
          <w:szCs w:val="26"/>
        </w:rPr>
        <w:t xml:space="preserve">в установленные сроки и </w:t>
      </w:r>
      <w:r w:rsidRPr="00A162F8">
        <w:rPr>
          <w:sz w:val="26"/>
          <w:szCs w:val="26"/>
        </w:rPr>
        <w:t>в необходимом объёме согласно расчетным потребностям</w:t>
      </w:r>
      <w:r>
        <w:rPr>
          <w:sz w:val="26"/>
          <w:szCs w:val="26"/>
        </w:rPr>
        <w:t xml:space="preserve"> бюджетов сельских поселений.</w:t>
      </w:r>
    </w:p>
    <w:p w:rsidR="00A03E49" w:rsidRPr="00A162F8" w:rsidRDefault="00A03E49" w:rsidP="00A03E4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2F8">
        <w:rPr>
          <w:rFonts w:ascii="Times New Roman" w:hAnsi="Times New Roman" w:cs="Times New Roman"/>
          <w:sz w:val="26"/>
          <w:szCs w:val="26"/>
        </w:rPr>
        <w:t xml:space="preserve">Для распределения дотаций на выравнивание бюджетной обеспеченности поселений на 2020 год применен Порядок расчета отдельных показателей, используемых в </w:t>
      </w:r>
      <w:r>
        <w:rPr>
          <w:rFonts w:ascii="Times New Roman" w:hAnsi="Times New Roman" w:cs="Times New Roman"/>
          <w:sz w:val="26"/>
          <w:szCs w:val="26"/>
        </w:rPr>
        <w:t>методике распределения дотаций на выравнивание бюджетной обеспеченности поселений из бюджета муниципального района</w:t>
      </w:r>
      <w:r w:rsidRPr="00A162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(решение Собрания депутатов муниципального образования «Приморский муниципальный район» от 22 ноября 2012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 № 206 с учетом изменений, внесенных решениями Собрания депутатов муниципального образования «Приморский </w:t>
      </w:r>
      <w:r w:rsidRPr="00A162F8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  <w:r w:rsidRPr="00A162F8">
        <w:rPr>
          <w:rFonts w:ascii="Times New Roman" w:hAnsi="Times New Roman" w:cs="Times New Roman"/>
          <w:sz w:val="26"/>
          <w:szCs w:val="26"/>
        </w:rPr>
        <w:br/>
        <w:t xml:space="preserve">от 21 ноября 2013 года № 18, от 24 сентября 2015 года № 181, от 24 ноября 2016 года </w:t>
      </w:r>
      <w:r w:rsidRPr="00A162F8">
        <w:rPr>
          <w:rFonts w:ascii="Times New Roman" w:hAnsi="Times New Roman" w:cs="Times New Roman"/>
          <w:sz w:val="26"/>
          <w:szCs w:val="26"/>
        </w:rPr>
        <w:br/>
        <w:t>№ 293, от 18 октября 2018 года № 21, от 12.12.2019 года № 120).</w:t>
      </w:r>
    </w:p>
    <w:p w:rsidR="00A03E49" w:rsidRPr="00A162F8" w:rsidRDefault="00A03E49" w:rsidP="00A03E4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2F8">
        <w:rPr>
          <w:rFonts w:ascii="Times New Roman" w:hAnsi="Times New Roman" w:cs="Times New Roman"/>
          <w:sz w:val="26"/>
          <w:szCs w:val="26"/>
        </w:rPr>
        <w:t xml:space="preserve">Для распределения </w:t>
      </w:r>
      <w:r>
        <w:rPr>
          <w:rFonts w:ascii="Times New Roman" w:hAnsi="Times New Roman" w:cs="Times New Roman"/>
          <w:sz w:val="26"/>
          <w:szCs w:val="26"/>
        </w:rPr>
        <w:t>иных межбюджетных трансфертов на поддержку мер по</w:t>
      </w:r>
      <w:r w:rsidRPr="00A162F8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ю сбалансированности бюджетов в 2020</w:t>
      </w:r>
      <w:r w:rsidRPr="00A162F8">
        <w:rPr>
          <w:rFonts w:ascii="Times New Roman" w:hAnsi="Times New Roman" w:cs="Times New Roman"/>
          <w:sz w:val="26"/>
          <w:szCs w:val="26"/>
        </w:rPr>
        <w:t xml:space="preserve"> году применена Методика</w:t>
      </w:r>
      <w:r>
        <w:rPr>
          <w:rFonts w:ascii="Times New Roman" w:hAnsi="Times New Roman" w:cs="Times New Roman"/>
          <w:sz w:val="26"/>
          <w:szCs w:val="26"/>
        </w:rPr>
        <w:t xml:space="preserve"> расчета и  распределения иных межбюджетных трансфертов </w:t>
      </w:r>
      <w:r w:rsidRPr="00A162F8">
        <w:rPr>
          <w:rFonts w:ascii="Times New Roman" w:hAnsi="Times New Roman" w:cs="Times New Roman"/>
          <w:sz w:val="26"/>
          <w:szCs w:val="26"/>
        </w:rPr>
        <w:t>бюджетам сельских поселений на поддержку мер по обеспечен</w:t>
      </w:r>
      <w:r>
        <w:rPr>
          <w:rFonts w:ascii="Times New Roman" w:hAnsi="Times New Roman" w:cs="Times New Roman"/>
          <w:sz w:val="26"/>
          <w:szCs w:val="26"/>
        </w:rPr>
        <w:t xml:space="preserve">ию сбалансированности бюджетов поселений </w:t>
      </w:r>
      <w:r w:rsidRPr="00A162F8">
        <w:rPr>
          <w:rFonts w:ascii="Times New Roman" w:hAnsi="Times New Roman" w:cs="Times New Roman"/>
          <w:sz w:val="26"/>
          <w:szCs w:val="26"/>
        </w:rPr>
        <w:t>(постановление администрации муниципального образования «Приморский муниципальный район» от 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162F8">
        <w:rPr>
          <w:rFonts w:ascii="Times New Roman" w:hAnsi="Times New Roman" w:cs="Times New Roman"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sz w:val="26"/>
          <w:szCs w:val="26"/>
        </w:rPr>
        <w:t>9 года № 2359</w:t>
      </w:r>
      <w:r w:rsidRPr="00A162F8">
        <w:rPr>
          <w:rFonts w:ascii="Times New Roman" w:hAnsi="Times New Roman" w:cs="Times New Roman"/>
          <w:sz w:val="26"/>
          <w:szCs w:val="26"/>
        </w:rPr>
        <w:t xml:space="preserve"> с учетом изменений, внесенных постановлениями администрации муниципального образования «Приморский муниципальный район» от </w:t>
      </w:r>
      <w:r>
        <w:rPr>
          <w:rFonts w:ascii="Times New Roman" w:hAnsi="Times New Roman" w:cs="Times New Roman"/>
          <w:sz w:val="26"/>
          <w:szCs w:val="26"/>
        </w:rPr>
        <w:t xml:space="preserve">08 июня 2020 </w:t>
      </w:r>
      <w:r w:rsidRPr="00A162F8">
        <w:rPr>
          <w:rFonts w:ascii="Times New Roman" w:hAnsi="Times New Roman" w:cs="Times New Roman"/>
          <w:sz w:val="26"/>
          <w:szCs w:val="26"/>
        </w:rPr>
        <w:t xml:space="preserve">года № </w:t>
      </w:r>
      <w:r>
        <w:rPr>
          <w:rFonts w:ascii="Times New Roman" w:hAnsi="Times New Roman" w:cs="Times New Roman"/>
          <w:sz w:val="26"/>
          <w:szCs w:val="26"/>
        </w:rPr>
        <w:t xml:space="preserve">1070, </w:t>
      </w:r>
      <w:r>
        <w:rPr>
          <w:rFonts w:ascii="Times New Roman" w:hAnsi="Times New Roman" w:cs="Times New Roman"/>
          <w:sz w:val="26"/>
          <w:szCs w:val="26"/>
        </w:rPr>
        <w:br/>
        <w:t>от 26 ноября 2020</w:t>
      </w:r>
      <w:r w:rsidRPr="00A162F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 2480</w:t>
      </w:r>
      <w:r w:rsidRPr="00A162F8">
        <w:rPr>
          <w:rFonts w:ascii="Times New Roman" w:hAnsi="Times New Roman" w:cs="Times New Roman"/>
          <w:sz w:val="26"/>
          <w:szCs w:val="26"/>
        </w:rPr>
        <w:t>);</w:t>
      </w:r>
    </w:p>
    <w:p w:rsidR="00A03E49" w:rsidRPr="00A162F8" w:rsidRDefault="00A03E49" w:rsidP="00A03E49">
      <w:pPr>
        <w:shd w:val="clear" w:color="auto" w:fill="FFFFFF"/>
        <w:tabs>
          <w:tab w:val="left" w:pos="851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62F8">
        <w:rPr>
          <w:sz w:val="26"/>
          <w:szCs w:val="26"/>
        </w:rPr>
        <w:t xml:space="preserve">Задача «Эффективное управление муниципальным долгом муниципального образования «Приморский муниципальный район» Архангельской области» выполнена, о чем свидетельствует поддержание его на безопасном уровне, в рамках запланированного. На 1 января 2021 года муниципальный долг составляет 17 800,00 тыс. рублей. В 2020 году досрочное погашение муниципального долга позволило сэкономить </w:t>
      </w:r>
      <w:proofErr w:type="gramStart"/>
      <w:r w:rsidRPr="00A162F8">
        <w:rPr>
          <w:sz w:val="26"/>
          <w:szCs w:val="26"/>
        </w:rPr>
        <w:t>средства  бюджета</w:t>
      </w:r>
      <w:proofErr w:type="gramEnd"/>
      <w:r w:rsidRPr="00A162F8">
        <w:rPr>
          <w:sz w:val="26"/>
          <w:szCs w:val="26"/>
        </w:rPr>
        <w:t xml:space="preserve"> на его обслуживание в объеме 2 332,4 тыс. рублей;</w:t>
      </w:r>
    </w:p>
    <w:p w:rsidR="00A03E49" w:rsidRPr="00A162F8" w:rsidRDefault="00A03E49" w:rsidP="00A03E49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162F8">
        <w:rPr>
          <w:bCs/>
          <w:sz w:val="26"/>
          <w:szCs w:val="26"/>
        </w:rPr>
        <w:t xml:space="preserve"> В рамках задачи «Организация образовательных и просветительских мероприятий по финансовой грамотности» проведены чемпионат и курсы повышения квалификации совместно с ГАО ДПО «Архангельский институт открытого образования» для 100 человек. Общеобразовательными учреждениями с целью расширения знаний о финансах, их роли в жизни человека и общества, финансовых отношениях и финансовых институтах общества, для учащихся проводились мероприятия в формате игр, бесед, классных часов, олимпиад, онлайн-уроков, в которых приняли участие 1 308 человек.</w:t>
      </w:r>
    </w:p>
    <w:p w:rsidR="00A03E49" w:rsidRPr="00957F63" w:rsidRDefault="00A03E49" w:rsidP="00A03E49">
      <w:pPr>
        <w:tabs>
          <w:tab w:val="left" w:pos="851"/>
        </w:tabs>
        <w:jc w:val="both"/>
        <w:rPr>
          <w:sz w:val="26"/>
          <w:szCs w:val="26"/>
        </w:rPr>
      </w:pPr>
      <w:r w:rsidRPr="00A162F8">
        <w:rPr>
          <w:sz w:val="26"/>
          <w:szCs w:val="26"/>
        </w:rPr>
        <w:t xml:space="preserve">             2) в 2020 году муниципальное образование участвовало в реализации государственной программы Архангельской области «Управление государственными финансами и государственным долгом Архангельской области», в то</w:t>
      </w:r>
      <w:r w:rsidRPr="00957F63">
        <w:rPr>
          <w:sz w:val="26"/>
          <w:szCs w:val="26"/>
        </w:rPr>
        <w:t>м числе в части управления целевыми межбюджетными трансфертами:</w:t>
      </w:r>
    </w:p>
    <w:p w:rsidR="00A03E49" w:rsidRPr="00E12E7D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   - за счет средств федерального бюджета – </w:t>
      </w:r>
      <w:r>
        <w:rPr>
          <w:sz w:val="26"/>
          <w:szCs w:val="26"/>
        </w:rPr>
        <w:t xml:space="preserve">по </w:t>
      </w:r>
      <w:r w:rsidRPr="00E12E7D">
        <w:rPr>
          <w:sz w:val="26"/>
          <w:szCs w:val="26"/>
        </w:rPr>
        <w:t>субвенции на осуществление первичного воинского учета на территориях, где отсутствуют военные комиссариаты в объеме 3 228,4 тыс. рублей;</w:t>
      </w:r>
    </w:p>
    <w:p w:rsidR="00A03E49" w:rsidRPr="00E12E7D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   - за счет средств областного бюджета – </w:t>
      </w:r>
      <w:r>
        <w:rPr>
          <w:sz w:val="26"/>
          <w:szCs w:val="26"/>
        </w:rPr>
        <w:t xml:space="preserve">по </w:t>
      </w:r>
      <w:r w:rsidRPr="00E12E7D">
        <w:rPr>
          <w:sz w:val="26"/>
          <w:szCs w:val="26"/>
        </w:rPr>
        <w:t>субвенции на осуществление государственных полномочий в сфере административных правонарушений в объеме 625,0 тыс. рублей.</w:t>
      </w:r>
    </w:p>
    <w:p w:rsidR="00A03E49" w:rsidRPr="00E12E7D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12E7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Данные средства </w:t>
      </w:r>
      <w:r w:rsidRPr="00A162F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установленные сроки и в </w:t>
      </w:r>
      <w:r w:rsidRPr="00A162F8">
        <w:rPr>
          <w:sz w:val="26"/>
          <w:szCs w:val="26"/>
        </w:rPr>
        <w:t>необходимом объёме согласно расчетным потребностям</w:t>
      </w:r>
      <w:r>
        <w:rPr>
          <w:sz w:val="26"/>
          <w:szCs w:val="26"/>
        </w:rPr>
        <w:t xml:space="preserve"> бюджетов сельских поселений</w:t>
      </w:r>
      <w:r w:rsidRPr="006011EA">
        <w:rPr>
          <w:sz w:val="26"/>
          <w:szCs w:val="26"/>
        </w:rPr>
        <w:t xml:space="preserve"> (в соответствии с кассовым планом) в виде межбюджетных трансфертов перечислены</w:t>
      </w:r>
      <w:r w:rsidRPr="00E12E7D">
        <w:rPr>
          <w:sz w:val="26"/>
          <w:szCs w:val="26"/>
        </w:rPr>
        <w:t xml:space="preserve"> в муниципальные образования поселения;</w:t>
      </w:r>
    </w:p>
    <w:p w:rsidR="00A03E49" w:rsidRPr="00E12E7D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E7D">
        <w:rPr>
          <w:rFonts w:ascii="Times New Roman" w:hAnsi="Times New Roman" w:cs="Times New Roman"/>
          <w:sz w:val="26"/>
          <w:szCs w:val="26"/>
        </w:rPr>
        <w:t>3) в отчетном периоде необходимость по принятию мер для восполнения, допущенного в предыдущем отчетном периоде отставания в выполнении мероприятий программы отсутствовала;</w:t>
      </w:r>
    </w:p>
    <w:p w:rsidR="00A03E49" w:rsidRPr="00E12E7D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E7D">
        <w:rPr>
          <w:rFonts w:ascii="Times New Roman" w:hAnsi="Times New Roman" w:cs="Times New Roman"/>
          <w:sz w:val="26"/>
          <w:szCs w:val="26"/>
        </w:rPr>
        <w:t>4) в отчетном 2020 году программа реализована по всем запланированным мероприятиям;</w:t>
      </w:r>
    </w:p>
    <w:p w:rsidR="00A03E49" w:rsidRDefault="00A03E49" w:rsidP="00A03E49">
      <w:pPr>
        <w:pStyle w:val="ConsPlusNormal"/>
        <w:ind w:firstLine="540"/>
        <w:jc w:val="both"/>
      </w:pPr>
      <w:r w:rsidRPr="00957F63">
        <w:rPr>
          <w:rFonts w:ascii="Times New Roman" w:hAnsi="Times New Roman" w:cs="Times New Roman"/>
          <w:sz w:val="26"/>
          <w:szCs w:val="26"/>
        </w:rPr>
        <w:t>5) отчет</w:t>
      </w:r>
      <w:r w:rsidRPr="00CA6FD3">
        <w:rPr>
          <w:rFonts w:ascii="Times New Roman" w:hAnsi="Times New Roman" w:cs="Times New Roman"/>
          <w:sz w:val="26"/>
          <w:szCs w:val="26"/>
        </w:rPr>
        <w:t xml:space="preserve"> о реализации Про</w:t>
      </w:r>
      <w:r>
        <w:rPr>
          <w:rFonts w:ascii="Times New Roman" w:hAnsi="Times New Roman" w:cs="Times New Roman"/>
          <w:sz w:val="26"/>
          <w:szCs w:val="26"/>
        </w:rPr>
        <w:t>граммы за 2020</w:t>
      </w:r>
      <w:r w:rsidRPr="00CA6FD3">
        <w:rPr>
          <w:rFonts w:ascii="Times New Roman" w:hAnsi="Times New Roman" w:cs="Times New Roman"/>
          <w:sz w:val="26"/>
          <w:szCs w:val="26"/>
        </w:rPr>
        <w:t xml:space="preserve"> год показал, что она эффективно работает в существующих формах и методах управления её реализацией, в настоящий момент их изменения не требуются. Поскольку объемы финансирования программы носят </w:t>
      </w:r>
      <w:r w:rsidRPr="00CA6FD3">
        <w:rPr>
          <w:rFonts w:ascii="Times New Roman" w:hAnsi="Times New Roman" w:cs="Times New Roman"/>
          <w:sz w:val="26"/>
          <w:szCs w:val="26"/>
        </w:rPr>
        <w:lastRenderedPageBreak/>
        <w:t>прогнозный характер - они ежегодно, в установленном порядке, уточняются при формировании проектов районного бюджета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CA6FD3">
        <w:rPr>
          <w:rFonts w:ascii="Times New Roman" w:hAnsi="Times New Roman" w:cs="Times New Roman"/>
          <w:sz w:val="26"/>
          <w:szCs w:val="26"/>
        </w:rPr>
        <w:t>.</w:t>
      </w:r>
    </w:p>
    <w:p w:rsidR="00A03E49" w:rsidRDefault="00A03E49" w:rsidP="00A03E49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ind w:firstLine="540"/>
        <w:jc w:val="both"/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  <w:sectPr w:rsidR="00E93C00" w:rsidSect="00E93C00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03E49" w:rsidRDefault="00A03E49" w:rsidP="00A03E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2.Отчет об исполнении мероприятий муниципальной программы за отчетный год. </w:t>
      </w:r>
    </w:p>
    <w:p w:rsidR="00A03E49" w:rsidRDefault="00A03E49" w:rsidP="00A03E49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B221AF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A03E49" w:rsidRPr="0076006E" w:rsidTr="00C97D6F">
        <w:trPr>
          <w:jc w:val="center"/>
        </w:trPr>
        <w:tc>
          <w:tcPr>
            <w:tcW w:w="1257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0937">
              <w:rPr>
                <w:rFonts w:ascii="Times New Roman" w:hAnsi="Times New Roman" w:cs="Times New Roman"/>
              </w:rPr>
              <w:t>ункт мероприятия</w:t>
            </w:r>
          </w:p>
        </w:tc>
        <w:tc>
          <w:tcPr>
            <w:tcW w:w="1861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A03E49" w:rsidRPr="0076006E" w:rsidTr="00C97D6F">
        <w:trPr>
          <w:jc w:val="center"/>
        </w:trPr>
        <w:tc>
          <w:tcPr>
            <w:tcW w:w="1257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A03E49" w:rsidRPr="002A0937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7</w:t>
            </w:r>
          </w:p>
        </w:tc>
      </w:tr>
      <w:tr w:rsidR="00A03E49" w:rsidRPr="0076006E" w:rsidTr="00C97D6F">
        <w:trPr>
          <w:jc w:val="center"/>
        </w:trPr>
        <w:tc>
          <w:tcPr>
            <w:tcW w:w="1257" w:type="dxa"/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861" w:type="dxa"/>
          </w:tcPr>
          <w:p w:rsidR="00A03E49" w:rsidRPr="00FE5DDD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E5DDD">
              <w:rPr>
                <w:rFonts w:ascii="Times New Roman" w:hAnsi="Times New Roman" w:cs="Times New Roman"/>
              </w:rPr>
              <w:t xml:space="preserve">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399" w:type="dxa"/>
          </w:tcPr>
          <w:p w:rsidR="00A03E49" w:rsidRDefault="00A03E49" w:rsidP="00C97D6F">
            <w:r w:rsidRPr="00E47EE7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Default="00A03E49" w:rsidP="00C97D6F">
            <w:pPr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Полное и своевременное перечисление сумм</w:t>
            </w:r>
            <w:r>
              <w:rPr>
                <w:sz w:val="20"/>
                <w:szCs w:val="20"/>
              </w:rPr>
              <w:t xml:space="preserve"> целевых</w:t>
            </w:r>
            <w:r w:rsidRPr="005B6A33">
              <w:rPr>
                <w:sz w:val="20"/>
                <w:szCs w:val="20"/>
              </w:rPr>
              <w:t xml:space="preserve"> межбюджетных трансфертов бюджетам муниципальных образований поселений</w:t>
            </w:r>
            <w:r>
              <w:rPr>
                <w:sz w:val="20"/>
                <w:szCs w:val="20"/>
              </w:rPr>
              <w:t xml:space="preserve">, 100% ежегодно, </w:t>
            </w:r>
          </w:p>
          <w:p w:rsidR="00A03E49" w:rsidRPr="005B6A33" w:rsidRDefault="00A03E49" w:rsidP="00C9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2A0937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A03E49" w:rsidRPr="002A0937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22" w:type="dxa"/>
          </w:tcPr>
          <w:p w:rsidR="00A03E49" w:rsidRPr="009A2560" w:rsidRDefault="00A03E49" w:rsidP="00C97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560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A03E49" w:rsidRPr="002C7353" w:rsidTr="00C97D6F">
        <w:trPr>
          <w:jc w:val="center"/>
        </w:trPr>
        <w:tc>
          <w:tcPr>
            <w:tcW w:w="1257" w:type="dxa"/>
          </w:tcPr>
          <w:p w:rsidR="00A03E49" w:rsidRPr="00F62F4D" w:rsidRDefault="00A03E49" w:rsidP="00C97D6F">
            <w:pPr>
              <w:rPr>
                <w:sz w:val="20"/>
                <w:szCs w:val="20"/>
              </w:rPr>
            </w:pPr>
            <w:r w:rsidRPr="00F62F4D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861" w:type="dxa"/>
          </w:tcPr>
          <w:p w:rsidR="00A03E49" w:rsidRPr="002C7353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7674E">
              <w:rPr>
                <w:rFonts w:ascii="Times New Roman" w:hAnsi="Times New Roman" w:cs="Times New Roman"/>
              </w:rPr>
              <w:t>Расчет и предоставление бюджетам сельских поселений субвенций на осуществление отдельных государственных полномочий</w:t>
            </w:r>
            <w:r w:rsidRPr="002C735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399" w:type="dxa"/>
          </w:tcPr>
          <w:p w:rsidR="00A03E49" w:rsidRDefault="00A03E49" w:rsidP="00C97D6F">
            <w:pPr>
              <w:rPr>
                <w:sz w:val="20"/>
                <w:szCs w:val="20"/>
              </w:rPr>
            </w:pPr>
            <w:r w:rsidRPr="00F62F4D">
              <w:rPr>
                <w:sz w:val="20"/>
                <w:szCs w:val="20"/>
              </w:rPr>
              <w:t xml:space="preserve">Финансовое управление </w:t>
            </w: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Default="00A03E49" w:rsidP="00C97D6F">
            <w:pPr>
              <w:rPr>
                <w:highlight w:val="yellow"/>
              </w:rPr>
            </w:pPr>
          </w:p>
          <w:p w:rsidR="00A03E49" w:rsidRPr="00B47F60" w:rsidRDefault="00A03E49" w:rsidP="00C97D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6" w:type="dxa"/>
            <w:vAlign w:val="center"/>
          </w:tcPr>
          <w:p w:rsidR="00A03E49" w:rsidRPr="002C7353" w:rsidRDefault="00A03E49" w:rsidP="00C97D6F">
            <w:pPr>
              <w:rPr>
                <w:sz w:val="20"/>
                <w:szCs w:val="20"/>
                <w:highlight w:val="yellow"/>
              </w:rPr>
            </w:pPr>
            <w:r w:rsidRPr="00B86A40">
              <w:rPr>
                <w:sz w:val="20"/>
                <w:szCs w:val="20"/>
              </w:rPr>
              <w:t xml:space="preserve">Доля распределенных между муниципальными образованиями сельскими поселениями субвенций на осуществление государственных полномочий Российской Федерации и Архангельской области, переданных в установленном порядке органам местного самоуправления сельских поселений Приморского муниципального района (далее </w:t>
            </w:r>
            <w:r w:rsidRPr="00B86A40">
              <w:rPr>
                <w:sz w:val="20"/>
                <w:szCs w:val="20"/>
              </w:rPr>
              <w:lastRenderedPageBreak/>
              <w:t>– государственные полномочия, осуществляемые сельскими поселениями), в общем объеме субвенций, предоставленных из областного бюджета районному бюджету на финансовое обеспечение государственных полномочий, осуществляемых сель</w:t>
            </w:r>
            <w:r>
              <w:rPr>
                <w:sz w:val="20"/>
                <w:szCs w:val="20"/>
              </w:rPr>
              <w:t>скими поселениями, 100%,</w:t>
            </w:r>
            <w:r w:rsidRPr="00726DFE">
              <w:rPr>
                <w:sz w:val="20"/>
                <w:szCs w:val="20"/>
              </w:rPr>
              <w:t>ежегодно,  (</w:t>
            </w:r>
            <w:r>
              <w:rPr>
                <w:sz w:val="20"/>
                <w:szCs w:val="20"/>
              </w:rPr>
              <w:t>%</w:t>
            </w:r>
            <w:r w:rsidRPr="00F62F4D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AC73D3" w:rsidRDefault="00A03E49" w:rsidP="00C97D6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83DE6">
              <w:rPr>
                <w:rFonts w:ascii="Times New Roman" w:hAnsi="Times New Roman" w:cs="Times New Roman"/>
              </w:rPr>
              <w:lastRenderedPageBreak/>
              <w:t xml:space="preserve">    100</w:t>
            </w:r>
          </w:p>
        </w:tc>
        <w:tc>
          <w:tcPr>
            <w:tcW w:w="2126" w:type="dxa"/>
          </w:tcPr>
          <w:p w:rsidR="00A03E49" w:rsidRPr="00AC73D3" w:rsidRDefault="00A03E49" w:rsidP="00C97D6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83DE6">
              <w:rPr>
                <w:rFonts w:ascii="Times New Roman" w:hAnsi="Times New Roman" w:cs="Times New Roman"/>
              </w:rPr>
              <w:t xml:space="preserve">    98,5</w:t>
            </w:r>
          </w:p>
        </w:tc>
        <w:tc>
          <w:tcPr>
            <w:tcW w:w="3022" w:type="dxa"/>
          </w:tcPr>
          <w:p w:rsidR="00A03E49" w:rsidRPr="00AC73D3" w:rsidRDefault="00A03E49" w:rsidP="00C97D6F">
            <w:pPr>
              <w:tabs>
                <w:tab w:val="left" w:pos="851"/>
                <w:tab w:val="left" w:pos="993"/>
              </w:tabs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Предоставлены в необходимом объеме согласно заявок получателей межбюджетных трансфертов с обоснованием потребности в средствах </w:t>
            </w:r>
          </w:p>
        </w:tc>
      </w:tr>
      <w:tr w:rsidR="00A03E49" w:rsidRPr="002C7353" w:rsidTr="00C97D6F">
        <w:trPr>
          <w:jc w:val="center"/>
        </w:trPr>
        <w:tc>
          <w:tcPr>
            <w:tcW w:w="1257" w:type="dxa"/>
            <w:vAlign w:val="center"/>
          </w:tcPr>
          <w:p w:rsidR="00A03E49" w:rsidRPr="00726DFE" w:rsidRDefault="00A03E49" w:rsidP="00C97D6F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1.3.</w:t>
            </w:r>
          </w:p>
        </w:tc>
        <w:tc>
          <w:tcPr>
            <w:tcW w:w="1861" w:type="dxa"/>
          </w:tcPr>
          <w:p w:rsidR="00A03E49" w:rsidRPr="00726DFE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6DFE">
              <w:rPr>
                <w:rFonts w:ascii="Times New Roman" w:hAnsi="Times New Roman" w:cs="Times New Roman"/>
              </w:rPr>
              <w:t xml:space="preserve">Обеспечение реализации полномочий в сфере управления муниципальными финансами </w:t>
            </w:r>
          </w:p>
        </w:tc>
        <w:tc>
          <w:tcPr>
            <w:tcW w:w="1399" w:type="dxa"/>
          </w:tcPr>
          <w:p w:rsidR="00A03E49" w:rsidRPr="00726DFE" w:rsidRDefault="00A03E49" w:rsidP="00C97D6F">
            <w:r w:rsidRPr="00726DF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726DFE" w:rsidRDefault="00A03E49" w:rsidP="00C97D6F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Освоение выделенных бюджетных ассигнований в соответствии со сметой, 95% ежегодно, (</w:t>
            </w:r>
            <w:r>
              <w:rPr>
                <w:sz w:val="20"/>
                <w:szCs w:val="20"/>
              </w:rPr>
              <w:t>%</w:t>
            </w:r>
            <w:r w:rsidRPr="00726DFE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726DFE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2126" w:type="dxa"/>
          </w:tcPr>
          <w:p w:rsidR="00A03E49" w:rsidRPr="00726DFE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99,9</w:t>
            </w:r>
          </w:p>
        </w:tc>
        <w:tc>
          <w:tcPr>
            <w:tcW w:w="3022" w:type="dxa"/>
          </w:tcPr>
          <w:p w:rsidR="00A03E49" w:rsidRPr="00726DFE" w:rsidRDefault="00A03E49" w:rsidP="00C97D6F">
            <w:pPr>
              <w:jc w:val="center"/>
            </w:pPr>
            <w:r w:rsidRPr="00726DFE">
              <w:rPr>
                <w:sz w:val="20"/>
                <w:szCs w:val="20"/>
              </w:rPr>
              <w:t>Выполнен</w:t>
            </w:r>
          </w:p>
        </w:tc>
      </w:tr>
      <w:tr w:rsidR="00A03E49" w:rsidRPr="00DA0A54" w:rsidTr="00A03E49">
        <w:trPr>
          <w:trHeight w:val="2582"/>
          <w:jc w:val="center"/>
        </w:trPr>
        <w:tc>
          <w:tcPr>
            <w:tcW w:w="1257" w:type="dxa"/>
          </w:tcPr>
          <w:p w:rsidR="00A03E49" w:rsidRPr="002C7353" w:rsidRDefault="00A03E49" w:rsidP="00C97D6F">
            <w:pPr>
              <w:rPr>
                <w:sz w:val="20"/>
                <w:szCs w:val="20"/>
                <w:highlight w:val="yellow"/>
              </w:rPr>
            </w:pPr>
            <w:r w:rsidRPr="00DA0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DA0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A03E49" w:rsidRPr="00253874" w:rsidRDefault="00A03E49" w:rsidP="00C97D6F">
            <w:pPr>
              <w:rPr>
                <w:b/>
                <w:sz w:val="20"/>
                <w:szCs w:val="20"/>
              </w:rPr>
            </w:pPr>
            <w:r w:rsidRPr="00253874">
              <w:rPr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2C7353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</w:tcPr>
          <w:p w:rsidR="00A03E49" w:rsidRPr="002C7353" w:rsidRDefault="00A03E49" w:rsidP="00C97D6F">
            <w:pPr>
              <w:rPr>
                <w:highlight w:val="yellow"/>
              </w:rPr>
            </w:pPr>
            <w:r w:rsidRPr="00DA0A54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2C7353" w:rsidRDefault="00A03E49" w:rsidP="00C97D6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Доля сельских поселений, у которых уровень покрытия расчетных расходов расчетными доходами, после выравнивания и осуществления мер финансовой поддержки, направленных на обеспечение сбалансированности бюджетов сельских поселений, составляет 1,0 и более, 100% </w:t>
            </w:r>
            <w:r w:rsidRPr="00DA0A54">
              <w:rPr>
                <w:sz w:val="20"/>
                <w:szCs w:val="20"/>
              </w:rPr>
              <w:t>ежегодно, (</w:t>
            </w:r>
            <w:r>
              <w:rPr>
                <w:sz w:val="20"/>
                <w:szCs w:val="20"/>
              </w:rPr>
              <w:t>Ед.</w:t>
            </w:r>
            <w:r w:rsidRPr="00DA0A54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DA0A54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DA0A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2126" w:type="dxa"/>
          </w:tcPr>
          <w:p w:rsidR="00A03E49" w:rsidRPr="00DA0A54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DA0A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3022" w:type="dxa"/>
          </w:tcPr>
          <w:p w:rsidR="00A03E49" w:rsidRPr="00DA0A54" w:rsidRDefault="00A03E49" w:rsidP="00C97D6F">
            <w:pPr>
              <w:jc w:val="center"/>
            </w:pPr>
            <w:r w:rsidRPr="00DA0A54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C97D6F">
        <w:trPr>
          <w:jc w:val="center"/>
        </w:trPr>
        <w:tc>
          <w:tcPr>
            <w:tcW w:w="1257" w:type="dxa"/>
          </w:tcPr>
          <w:p w:rsidR="00A03E49" w:rsidRPr="00DA0A54" w:rsidRDefault="00A03E49" w:rsidP="00C97D6F">
            <w:pPr>
              <w:rPr>
                <w:sz w:val="20"/>
                <w:szCs w:val="20"/>
              </w:rPr>
            </w:pPr>
            <w:r w:rsidRPr="00DA0A5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861" w:type="dxa"/>
          </w:tcPr>
          <w:p w:rsidR="00A03E49" w:rsidRPr="002C7353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C4BEF">
              <w:rPr>
                <w:rFonts w:ascii="Times New Roman" w:hAnsi="Times New Roman" w:cs="Times New Roman"/>
              </w:rPr>
              <w:t xml:space="preserve">Своевременное погашение долговых обязательств и исполнение обязательств по обслуживанию муниципального долга </w:t>
            </w:r>
            <w:r w:rsidRPr="00F059F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FC4BEF">
              <w:rPr>
                <w:rFonts w:ascii="Times New Roman" w:hAnsi="Times New Roman" w:cs="Times New Roman"/>
              </w:rPr>
              <w:t xml:space="preserve">«Приморский </w:t>
            </w:r>
            <w:r w:rsidRPr="00FC4BEF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399" w:type="dxa"/>
          </w:tcPr>
          <w:p w:rsidR="00A03E49" w:rsidRPr="002C7353" w:rsidRDefault="00A03E49" w:rsidP="00C97D6F">
            <w:pPr>
              <w:rPr>
                <w:highlight w:val="yellow"/>
              </w:rPr>
            </w:pPr>
            <w:r w:rsidRPr="00DA0A54">
              <w:rPr>
                <w:sz w:val="20"/>
                <w:szCs w:val="20"/>
              </w:rPr>
              <w:lastRenderedPageBreak/>
              <w:t xml:space="preserve">Финансовое управление </w:t>
            </w:r>
          </w:p>
        </w:tc>
        <w:tc>
          <w:tcPr>
            <w:tcW w:w="2926" w:type="dxa"/>
            <w:vAlign w:val="bottom"/>
          </w:tcPr>
          <w:p w:rsidR="00A03E49" w:rsidRPr="002C7353" w:rsidRDefault="00A03E49" w:rsidP="00C97D6F">
            <w:pPr>
              <w:rPr>
                <w:sz w:val="20"/>
                <w:szCs w:val="20"/>
                <w:highlight w:val="yellow"/>
              </w:rPr>
            </w:pPr>
            <w:r w:rsidRPr="00FC4BEF">
              <w:rPr>
                <w:sz w:val="20"/>
                <w:szCs w:val="20"/>
              </w:rPr>
              <w:t xml:space="preserve">Отсутствие просроченных платежей по погашению долговых обязательств и обязательств по обслуживанию муниципального долга </w:t>
            </w:r>
            <w:r w:rsidRPr="00F059F3">
              <w:rPr>
                <w:sz w:val="20"/>
                <w:szCs w:val="20"/>
              </w:rPr>
              <w:t xml:space="preserve">муниципального образования </w:t>
            </w:r>
            <w:r w:rsidRPr="00FC4BEF">
              <w:rPr>
                <w:sz w:val="20"/>
                <w:szCs w:val="20"/>
              </w:rPr>
              <w:t>«Приморский муниципальный район»</w:t>
            </w:r>
            <w:r>
              <w:rPr>
                <w:sz w:val="20"/>
                <w:szCs w:val="20"/>
              </w:rPr>
              <w:t xml:space="preserve">, количество просроченных платежей 0, </w:t>
            </w:r>
            <w:r w:rsidRPr="005A3F42">
              <w:rPr>
                <w:sz w:val="20"/>
                <w:szCs w:val="20"/>
              </w:rPr>
              <w:t xml:space="preserve">ежегодно, </w:t>
            </w:r>
            <w:r w:rsidRPr="0003475E"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5A3F42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5A3F4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03E49" w:rsidRPr="005A3F42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A03E49" w:rsidRPr="005A3F42" w:rsidRDefault="00A03E49" w:rsidP="00C97D6F">
            <w:pPr>
              <w:jc w:val="center"/>
            </w:pPr>
            <w:r w:rsidRPr="005A3F42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C97D6F">
        <w:trPr>
          <w:jc w:val="center"/>
        </w:trPr>
        <w:tc>
          <w:tcPr>
            <w:tcW w:w="1257" w:type="dxa"/>
          </w:tcPr>
          <w:p w:rsidR="00A03E49" w:rsidRPr="00EC4496" w:rsidRDefault="00A03E49" w:rsidP="00C97D6F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861" w:type="dxa"/>
          </w:tcPr>
          <w:p w:rsidR="00A03E49" w:rsidRPr="00EC4496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>Проведение мероприятий, направленных на повышение собираемости поступлений налоговых и неналоговых платежей</w:t>
            </w:r>
          </w:p>
        </w:tc>
        <w:tc>
          <w:tcPr>
            <w:tcW w:w="1399" w:type="dxa"/>
          </w:tcPr>
          <w:p w:rsidR="00A03E49" w:rsidRPr="00EC4496" w:rsidRDefault="00A03E49" w:rsidP="00C97D6F">
            <w:r w:rsidRPr="00EC449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EC4496" w:rsidRDefault="00A03E49" w:rsidP="00C97D6F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Количество заседаний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муниципальный район», 4 </w:t>
            </w:r>
            <w:r w:rsidRPr="00B47F60">
              <w:rPr>
                <w:sz w:val="20"/>
                <w:szCs w:val="20"/>
              </w:rPr>
              <w:t>ежегодно, (%)</w:t>
            </w:r>
          </w:p>
        </w:tc>
        <w:tc>
          <w:tcPr>
            <w:tcW w:w="2132" w:type="dxa"/>
          </w:tcPr>
          <w:p w:rsidR="00A03E49" w:rsidRPr="00EC4496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3E49" w:rsidRPr="00EC4496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F3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A03E49" w:rsidRPr="004F32A8" w:rsidRDefault="00A03E49" w:rsidP="00C97D6F">
            <w:pPr>
              <w:pStyle w:val="a3"/>
              <w:rPr>
                <w:bCs/>
                <w:spacing w:val="3"/>
                <w:kern w:val="36"/>
                <w:sz w:val="20"/>
                <w:szCs w:val="20"/>
              </w:rPr>
            </w:pPr>
            <w:r w:rsidRPr="00BD3D40">
              <w:rPr>
                <w:sz w:val="20"/>
                <w:szCs w:val="20"/>
              </w:rPr>
              <w:t xml:space="preserve">Ограничение проведения на территории Архангельской области деловых, публичных и иных массовых </w:t>
            </w:r>
            <w:proofErr w:type="gramStart"/>
            <w:r w:rsidRPr="00BD3D40">
              <w:rPr>
                <w:sz w:val="20"/>
                <w:szCs w:val="20"/>
              </w:rPr>
              <w:t>мероприятий  на</w:t>
            </w:r>
            <w:proofErr w:type="gramEnd"/>
            <w:r w:rsidRPr="00BD3D40">
              <w:rPr>
                <w:sz w:val="20"/>
                <w:szCs w:val="20"/>
              </w:rPr>
              <w:t xml:space="preserve"> основании указа </w:t>
            </w:r>
            <w:r w:rsidRPr="00BD3D40">
              <w:rPr>
                <w:bCs/>
                <w:spacing w:val="3"/>
                <w:kern w:val="36"/>
                <w:sz w:val="20"/>
                <w:szCs w:val="20"/>
              </w:rPr>
              <w:t> губернатора Архангельской области от 17 марта 2020 года № 28-у</w:t>
            </w:r>
            <w:r w:rsidRPr="004F32A8">
              <w:rPr>
                <w:bCs/>
                <w:spacing w:val="3"/>
                <w:kern w:val="36"/>
                <w:sz w:val="20"/>
                <w:szCs w:val="20"/>
              </w:rPr>
              <w:t> </w:t>
            </w:r>
          </w:p>
          <w:p w:rsidR="00A03E49" w:rsidRPr="00EC4496" w:rsidRDefault="00A03E49" w:rsidP="00C97D6F">
            <w:pPr>
              <w:jc w:val="center"/>
            </w:pPr>
          </w:p>
        </w:tc>
      </w:tr>
      <w:tr w:rsidR="00A03E49" w:rsidRPr="002C7353" w:rsidTr="00C97D6F">
        <w:trPr>
          <w:jc w:val="center"/>
        </w:trPr>
        <w:tc>
          <w:tcPr>
            <w:tcW w:w="1257" w:type="dxa"/>
          </w:tcPr>
          <w:p w:rsidR="00A03E49" w:rsidRPr="00D156C6" w:rsidRDefault="00A03E49" w:rsidP="00C97D6F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861" w:type="dxa"/>
          </w:tcPr>
          <w:p w:rsidR="00A03E49" w:rsidRPr="00D156C6" w:rsidRDefault="00A03E49" w:rsidP="00C97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56C6">
              <w:rPr>
                <w:rFonts w:ascii="Times New Roman" w:hAnsi="Times New Roman" w:cs="Times New Roman"/>
                <w:bCs/>
              </w:rPr>
              <w:t>Участие в подготовке и проведении мероприятий по финансовой грамотности совместно с ГАО ДПО «Архангельский институт открытого образования»</w:t>
            </w:r>
            <w:r w:rsidRPr="00D15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:rsidR="00A03E49" w:rsidRPr="00D156C6" w:rsidRDefault="00A03E49" w:rsidP="00C97D6F">
            <w:r w:rsidRPr="00D156C6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926" w:type="dxa"/>
            <w:vAlign w:val="center"/>
          </w:tcPr>
          <w:p w:rsidR="00A03E49" w:rsidRPr="00D156C6" w:rsidRDefault="00A03E49" w:rsidP="00C97D6F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>Количество человек, участвовавших в мероприятиях по финансовой грамотности, 100 человек, ежегодно,</w:t>
            </w:r>
          </w:p>
          <w:p w:rsidR="00A03E49" w:rsidRPr="00D156C6" w:rsidRDefault="00A03E49" w:rsidP="00C97D6F">
            <w:pPr>
              <w:rPr>
                <w:sz w:val="20"/>
                <w:szCs w:val="20"/>
              </w:rPr>
            </w:pPr>
            <w:r w:rsidRPr="00D156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Pr="00D156C6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D156C6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156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A03E49" w:rsidRPr="00D156C6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5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D156C6" w:rsidRDefault="00A03E49" w:rsidP="00C97D6F">
            <w:pPr>
              <w:jc w:val="center"/>
            </w:pPr>
            <w:r w:rsidRPr="00D156C6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03E49">
        <w:trPr>
          <w:trHeight w:val="3444"/>
          <w:jc w:val="center"/>
        </w:trPr>
        <w:tc>
          <w:tcPr>
            <w:tcW w:w="1257" w:type="dxa"/>
          </w:tcPr>
          <w:p w:rsidR="00A03E49" w:rsidRPr="009E5D1E" w:rsidRDefault="00A03E49" w:rsidP="00C97D6F">
            <w:pPr>
              <w:rPr>
                <w:sz w:val="20"/>
                <w:szCs w:val="20"/>
              </w:rPr>
            </w:pPr>
            <w:r w:rsidRPr="009E5D1E">
              <w:rPr>
                <w:sz w:val="20"/>
                <w:szCs w:val="20"/>
              </w:rPr>
              <w:t xml:space="preserve">4.2. </w:t>
            </w:r>
          </w:p>
          <w:p w:rsidR="00A03E49" w:rsidRPr="009E5D1E" w:rsidRDefault="00A03E49" w:rsidP="00C97D6F">
            <w:pPr>
              <w:rPr>
                <w:rFonts w:ascii="Arial CYR" w:hAnsi="Arial CYR" w:cs="Arial CYR"/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9E5D1E" w:rsidRDefault="00A03E49" w:rsidP="00C97D6F">
            <w:pPr>
              <w:rPr>
                <w:rFonts w:ascii="Arial CYR" w:hAnsi="Arial CYR" w:cs="Arial CYR"/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9E5D1E" w:rsidRDefault="00A03E49" w:rsidP="00C97D6F">
            <w:pPr>
              <w:rPr>
                <w:sz w:val="20"/>
                <w:szCs w:val="20"/>
              </w:rPr>
            </w:pPr>
            <w:r w:rsidRPr="009E5D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</w:tcPr>
          <w:p w:rsidR="00A03E49" w:rsidRPr="009E5D1E" w:rsidRDefault="00A03E49" w:rsidP="00A03E49">
            <w:r w:rsidRPr="009E5D1E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образовательных учреждений и организация образовательных и просветительских мероприятий по финансовой грамотности</w:t>
            </w:r>
            <w:r w:rsidRPr="009E5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</w:tcPr>
          <w:p w:rsidR="00A03E49" w:rsidRPr="009E5D1E" w:rsidRDefault="00A03E49" w:rsidP="00C97D6F">
            <w:r w:rsidRPr="009E5D1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26" w:type="dxa"/>
            <w:vAlign w:val="center"/>
          </w:tcPr>
          <w:p w:rsidR="00A03E49" w:rsidRPr="009E5D1E" w:rsidRDefault="00A03E49" w:rsidP="00C97D6F">
            <w:pPr>
              <w:rPr>
                <w:sz w:val="20"/>
                <w:szCs w:val="20"/>
              </w:rPr>
            </w:pPr>
            <w:r w:rsidRPr="009E5D1E">
              <w:rPr>
                <w:sz w:val="20"/>
                <w:szCs w:val="20"/>
              </w:rPr>
              <w:t>Повышение уровня финансовой грамотности среди учащихся образовательных учреждений, 1280 человек, ежегодно, (</w:t>
            </w:r>
            <w:r>
              <w:rPr>
                <w:sz w:val="20"/>
                <w:szCs w:val="20"/>
              </w:rPr>
              <w:t>Чел.</w:t>
            </w:r>
            <w:r w:rsidRPr="009E5D1E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9E5D1E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 w:rsidRPr="009E5D1E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A03E49" w:rsidRPr="009E5D1E" w:rsidRDefault="00A03E49" w:rsidP="00C97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022" w:type="dxa"/>
          </w:tcPr>
          <w:p w:rsidR="00A03E49" w:rsidRPr="009E5D1E" w:rsidRDefault="00A03E49" w:rsidP="00C97D6F">
            <w:pPr>
              <w:jc w:val="center"/>
            </w:pPr>
            <w:r w:rsidRPr="009E5D1E">
              <w:rPr>
                <w:sz w:val="20"/>
                <w:szCs w:val="20"/>
              </w:rPr>
              <w:t>Выполнен</w:t>
            </w:r>
          </w:p>
        </w:tc>
      </w:tr>
    </w:tbl>
    <w:p w:rsidR="00A03E49" w:rsidRPr="00874344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5D1E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A03E49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E49" w:rsidRPr="00C547DE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CF6048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A03E49" w:rsidRPr="00C547DE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B221AF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1176"/>
        <w:gridCol w:w="992"/>
        <w:gridCol w:w="709"/>
        <w:gridCol w:w="900"/>
        <w:gridCol w:w="900"/>
        <w:gridCol w:w="900"/>
        <w:gridCol w:w="729"/>
        <w:gridCol w:w="1055"/>
        <w:gridCol w:w="946"/>
        <w:gridCol w:w="524"/>
        <w:gridCol w:w="567"/>
        <w:gridCol w:w="567"/>
        <w:gridCol w:w="512"/>
        <w:gridCol w:w="905"/>
        <w:gridCol w:w="1418"/>
      </w:tblGrid>
      <w:tr w:rsidR="00A03E49" w:rsidTr="00C97D6F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113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C97D6F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7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C97D6F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C97D6F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Tr="00C97D6F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03E49" w:rsidTr="00C97D6F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1.1. 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A33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r w:rsidRPr="00DC0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jc w:val="center"/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2F7DA9" w:rsidTr="00C97D6F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rPr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lastRenderedPageBreak/>
              <w:t xml:space="preserve">1.2. </w:t>
            </w:r>
          </w:p>
          <w:p w:rsidR="00A03E49" w:rsidRPr="0087674E" w:rsidRDefault="00A03E49" w:rsidP="00C97D6F">
            <w:pPr>
              <w:rPr>
                <w:b/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t>Расчет</w:t>
            </w:r>
            <w:r w:rsidRPr="0087674E">
              <w:rPr>
                <w:sz w:val="20"/>
                <w:szCs w:val="20"/>
              </w:rPr>
              <w:t xml:space="preserve"> и предоставление бюджетам сельских поселений субвенций на осуществление отдельных государственных полномочий</w:t>
            </w:r>
          </w:p>
          <w:p w:rsidR="00A03E49" w:rsidRDefault="00A03E49" w:rsidP="00C97D6F">
            <w:pPr>
              <w:rPr>
                <w:sz w:val="20"/>
                <w:szCs w:val="20"/>
              </w:rPr>
            </w:pPr>
          </w:p>
          <w:p w:rsidR="00A03E49" w:rsidRPr="002F7DA9" w:rsidRDefault="00A03E49" w:rsidP="00C97D6F">
            <w:pPr>
              <w:rPr>
                <w:sz w:val="20"/>
                <w:szCs w:val="20"/>
                <w:highlight w:val="yellow"/>
              </w:rPr>
            </w:pPr>
            <w:r w:rsidRPr="002F7DA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3D3">
              <w:rPr>
                <w:sz w:val="20"/>
                <w:szCs w:val="20"/>
              </w:rPr>
              <w:t xml:space="preserve">Финансовое управление </w:t>
            </w:r>
          </w:p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2F7DA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3 910,4</w:t>
            </w: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2F7DA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3 853,4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2F7DA9" w:rsidRDefault="00A03E49" w:rsidP="00C97D6F">
            <w:pPr>
              <w:jc w:val="center"/>
              <w:rPr>
                <w:highlight w:val="yellow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98,5%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3 285,4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3 228,4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2F7DA9" w:rsidRDefault="00A03E49" w:rsidP="00C97D6F">
            <w:pPr>
              <w:jc w:val="center"/>
              <w:rPr>
                <w:highlight w:val="yellow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625,0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625,0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3 853,4</w:t>
            </w: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4C5B56" w:rsidRDefault="00A03E49" w:rsidP="00C97D6F">
            <w:pPr>
              <w:jc w:val="center"/>
              <w:rPr>
                <w:sz w:val="18"/>
                <w:szCs w:val="18"/>
              </w:rPr>
            </w:pPr>
          </w:p>
          <w:p w:rsidR="00A03E49" w:rsidRPr="002F7DA9" w:rsidRDefault="00A03E49" w:rsidP="00C97D6F">
            <w:pPr>
              <w:jc w:val="center"/>
              <w:rPr>
                <w:highlight w:val="yellow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BD3D40" w:rsidRDefault="00A03E49" w:rsidP="00C97D6F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Предоставлены в необходимом объеме согласно заявок получателей межбюджетных трансфертов с обоснованием потребности в средствах </w:t>
            </w:r>
          </w:p>
          <w:p w:rsidR="00A03E49" w:rsidRPr="002F7DA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3E49" w:rsidRPr="002F7DA9" w:rsidTr="00C97D6F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1E32CA" w:rsidRDefault="00A03E49" w:rsidP="00C97D6F">
            <w:pPr>
              <w:rPr>
                <w:sz w:val="20"/>
                <w:szCs w:val="20"/>
              </w:rPr>
            </w:pPr>
            <w:r w:rsidRPr="001E32CA">
              <w:rPr>
                <w:sz w:val="20"/>
                <w:szCs w:val="20"/>
              </w:rPr>
              <w:t xml:space="preserve">1.3. Обеспечение реализации полномочий в сфере управления муниципальными финансами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1E32CA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2CA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F7DA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5B56">
              <w:rPr>
                <w:sz w:val="18"/>
                <w:szCs w:val="18"/>
              </w:rPr>
              <w:t>11 653,2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F7DA9" w:rsidRDefault="00A03E49" w:rsidP="00C97D6F">
            <w:pPr>
              <w:rPr>
                <w:highlight w:val="yellow"/>
              </w:rPr>
            </w:pPr>
            <w:r w:rsidRPr="004C5B56">
              <w:rPr>
                <w:sz w:val="18"/>
                <w:szCs w:val="18"/>
              </w:rPr>
              <w:t>11 650,8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11 653,2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11 650,8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11 650,8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Оплата работ по «факту» на основании актов выполненных работ (экономия средств)</w:t>
            </w:r>
          </w:p>
        </w:tc>
      </w:tr>
      <w:tr w:rsidR="00A03E49" w:rsidRPr="002F7DA9" w:rsidTr="00C97D6F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010C44" w:rsidRDefault="00A03E49" w:rsidP="00C97D6F">
            <w:pPr>
              <w:rPr>
                <w:b/>
                <w:sz w:val="20"/>
                <w:szCs w:val="20"/>
              </w:rPr>
            </w:pPr>
            <w:r w:rsidRPr="00010C44">
              <w:rPr>
                <w:sz w:val="20"/>
                <w:szCs w:val="20"/>
              </w:rPr>
              <w:t>2.1. 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010C44" w:rsidRDefault="00A03E49" w:rsidP="00C97D6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010C44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0C44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26 799,7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26 799,7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4 841,7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4 841,7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21 958,0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21 958,0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26 799,7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2F7DA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2F7DA9" w:rsidTr="00C97D6F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C97D6F">
            <w:pPr>
              <w:rPr>
                <w:sz w:val="20"/>
                <w:szCs w:val="20"/>
              </w:rPr>
            </w:pPr>
            <w:r w:rsidRPr="00EE52BF">
              <w:rPr>
                <w:sz w:val="20"/>
                <w:szCs w:val="20"/>
              </w:rPr>
              <w:t xml:space="preserve">3.1. Своевременное погашение долговых обязательств и </w:t>
            </w:r>
            <w:r w:rsidRPr="00EE52BF">
              <w:rPr>
                <w:sz w:val="20"/>
                <w:szCs w:val="20"/>
              </w:rPr>
              <w:lastRenderedPageBreak/>
              <w:t>исполнение обязательств по обслуживанию муниципального долга муниципального образования «Приморский муниципальный район»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52BF">
              <w:rPr>
                <w:sz w:val="20"/>
                <w:szCs w:val="20"/>
              </w:rPr>
              <w:lastRenderedPageBreak/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276C0">
              <w:rPr>
                <w:sz w:val="18"/>
                <w:szCs w:val="18"/>
              </w:rPr>
              <w:t>2 412,3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  <w:highlight w:val="yellow"/>
              </w:rPr>
            </w:pPr>
            <w:r w:rsidRPr="006276C0">
              <w:rPr>
                <w:sz w:val="18"/>
                <w:szCs w:val="18"/>
              </w:rPr>
              <w:t>79,9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2 412,3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79,9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79,9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 xml:space="preserve">Кассовые расходы меньше плана в связи с уменьшением периода </w:t>
            </w:r>
            <w:r w:rsidRPr="004C5B56">
              <w:rPr>
                <w:sz w:val="18"/>
                <w:szCs w:val="18"/>
              </w:rPr>
              <w:lastRenderedPageBreak/>
              <w:t>пользования коммерческим кредитом</w:t>
            </w:r>
          </w:p>
        </w:tc>
      </w:tr>
      <w:tr w:rsidR="00A03E49" w:rsidRPr="002F7DA9" w:rsidTr="00C97D6F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C97D6F">
            <w:pPr>
              <w:rPr>
                <w:sz w:val="20"/>
                <w:szCs w:val="20"/>
              </w:rPr>
            </w:pPr>
            <w:r w:rsidRPr="00EE52BF">
              <w:rPr>
                <w:sz w:val="20"/>
                <w:szCs w:val="20"/>
              </w:rPr>
              <w:lastRenderedPageBreak/>
              <w:t xml:space="preserve">3.2. Проведение мероприятий, направленных на повышение собираемости поступлений налоговых и неналоговых платежей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E52BF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52B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4C5B56" w:rsidTr="00C97D6F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4.1. </w:t>
            </w:r>
          </w:p>
          <w:p w:rsidR="00A03E49" w:rsidRPr="004C5B56" w:rsidRDefault="00A03E49" w:rsidP="00C97D6F">
            <w:pPr>
              <w:rPr>
                <w:sz w:val="20"/>
                <w:szCs w:val="20"/>
              </w:rPr>
            </w:pPr>
            <w:r w:rsidRPr="004C5B56">
              <w:rPr>
                <w:bCs/>
                <w:sz w:val="20"/>
                <w:szCs w:val="20"/>
              </w:rPr>
              <w:t xml:space="preserve">Участие в подготовке и проведении мероприятий по финансовой грамотности совместно с ГАО ДПО «Архангельский институт открытого </w:t>
            </w:r>
            <w:proofErr w:type="gramStart"/>
            <w:r w:rsidRPr="004C5B56">
              <w:rPr>
                <w:bCs/>
                <w:sz w:val="20"/>
                <w:szCs w:val="20"/>
              </w:rPr>
              <w:t>образования»</w:t>
            </w:r>
            <w:r w:rsidRPr="004C5B56">
              <w:t xml:space="preserve"> </w:t>
            </w:r>
            <w:r w:rsidRPr="004C5B56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Финансовое управление</w:t>
            </w: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5B5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15,0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0</w:t>
            </w: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</w:p>
          <w:p w:rsidR="00A03E49" w:rsidRPr="006276C0" w:rsidRDefault="00A03E49" w:rsidP="00C97D6F">
            <w:pPr>
              <w:rPr>
                <w:sz w:val="18"/>
                <w:szCs w:val="18"/>
              </w:rPr>
            </w:pPr>
            <w:r w:rsidRPr="006276C0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2F7DA9" w:rsidTr="00C97D6F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4.2.</w:t>
            </w:r>
          </w:p>
          <w:p w:rsidR="00A03E49" w:rsidRPr="004C5B56" w:rsidRDefault="00A03E49" w:rsidP="00C97D6F">
            <w:pPr>
              <w:rPr>
                <w:rFonts w:ascii="Arial CYR" w:hAnsi="Arial CYR" w:cs="Arial CYR"/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 </w:t>
            </w:r>
            <w:r w:rsidRPr="004C5B56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</w:t>
            </w:r>
            <w:r w:rsidRPr="004C5B56">
              <w:rPr>
                <w:bCs/>
                <w:sz w:val="20"/>
                <w:szCs w:val="20"/>
              </w:rPr>
              <w:lastRenderedPageBreak/>
              <w:t>х учреждений и организация образовательных и просветительских мероприятий по финансовой грамотности</w:t>
            </w:r>
            <w:r w:rsidRPr="004C5B56">
              <w:rPr>
                <w:sz w:val="20"/>
                <w:szCs w:val="20"/>
              </w:rPr>
              <w:t xml:space="preserve"> </w:t>
            </w:r>
            <w:r w:rsidRPr="004C5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4C5B56" w:rsidRDefault="00A03E49" w:rsidP="00C97D6F">
            <w:pPr>
              <w:rPr>
                <w:sz w:val="20"/>
                <w:szCs w:val="20"/>
              </w:rPr>
            </w:pPr>
            <w:r w:rsidRPr="004C5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B56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E7131A" w:rsidTr="00C97D6F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 xml:space="preserve">Финансовое управление </w:t>
            </w: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B5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44 790,6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42 398,8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94,7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3 285,4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3 228,4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5 466,7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5 466,7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36 038,5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33 703,7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4C5B56" w:rsidRDefault="00A03E49" w:rsidP="00C97D6F">
            <w:pPr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42 398,8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E7131A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5B56">
              <w:rPr>
                <w:sz w:val="18"/>
                <w:szCs w:val="18"/>
              </w:rPr>
              <w:t>X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Примечания: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2.  По графе 3 отражается сумма граф 6, 8, 10, 12, 14.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4.  По графе 4 отражается сумма граф 7, 9, 11, 13, 15.</w:t>
      </w:r>
    </w:p>
    <w:p w:rsidR="00A03E49" w:rsidRPr="00144C78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A03E49" w:rsidRPr="00144C78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  <w:r w:rsidRPr="00C26991">
        <w:rPr>
          <w:sz w:val="20"/>
          <w:szCs w:val="20"/>
        </w:rPr>
        <w:t xml:space="preserve">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8. В графе 17 указываются причины отклонения гр.3 от гр.16.</w:t>
      </w:r>
      <w:bookmarkStart w:id="0" w:name="_GoBack"/>
      <w:bookmarkEnd w:id="0"/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E49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417B92" w:rsidRDefault="00A03E49" w:rsidP="00A03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9BF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исполнитель </w:t>
      </w:r>
      <w:r w:rsidRPr="00417B92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МО "Приморский муниципальный район"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6"/>
        <w:gridCol w:w="1559"/>
        <w:gridCol w:w="993"/>
        <w:gridCol w:w="992"/>
        <w:gridCol w:w="1629"/>
        <w:gridCol w:w="1963"/>
      </w:tblGrid>
      <w:tr w:rsidR="00A03E49" w:rsidRPr="008A7480" w:rsidTr="00C97D6F">
        <w:trPr>
          <w:trHeight w:val="720"/>
          <w:tblCellSpacing w:w="5" w:type="nil"/>
          <w:jc w:val="center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A03E49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A03E49" w:rsidRPr="008A7480" w:rsidTr="00C97D6F">
        <w:trPr>
          <w:trHeight w:val="208"/>
          <w:tblCellSpacing w:w="5" w:type="nil"/>
          <w:jc w:val="center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14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722E5" w:rsidRDefault="00A03E49" w:rsidP="00C97D6F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2E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«Эффективное управление муниципальными финансами и повышение финансовой грамотности на территории Приморского района»</w:t>
            </w:r>
          </w:p>
          <w:p w:rsidR="00A03E49" w:rsidRPr="008A7480" w:rsidRDefault="00A03E49" w:rsidP="00C97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A03E49" w:rsidP="00C97D6F">
            <w:pPr>
              <w:tabs>
                <w:tab w:val="left" w:pos="200"/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1. </w:t>
            </w:r>
            <w:r w:rsidRPr="00AF540A">
              <w:t xml:space="preserve"> </w:t>
            </w:r>
            <w:r>
              <w:t xml:space="preserve">Предоставление целевых межбюджетных трансфертов сельским поселениям </w:t>
            </w:r>
            <w:r w:rsidRPr="000F5AE0">
              <w:t xml:space="preserve">Приморского муниципального района </w:t>
            </w:r>
            <w:r>
              <w:t>при наличии установленных</w:t>
            </w:r>
            <w:r w:rsidRPr="00B97564">
              <w:t xml:space="preserve"> </w:t>
            </w:r>
            <w:r>
              <w:t>порядков</w:t>
            </w:r>
          </w:p>
          <w:p w:rsidR="00A03E49" w:rsidRPr="00AF540A" w:rsidRDefault="00A03E49" w:rsidP="00C97D6F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F540A" w:rsidRDefault="00A03E49" w:rsidP="00C97D6F">
            <w:pPr>
              <w:jc w:val="center"/>
            </w:pPr>
            <w: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 w:rsidRPr="006276C0"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 w:rsidRPr="006276C0"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6C0"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84A54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F540A" w:rsidRDefault="00A03E49" w:rsidP="00C97D6F">
            <w:r w:rsidRPr="00AF540A">
              <w:t xml:space="preserve">2. </w:t>
            </w:r>
            <w:r w:rsidRPr="000F5AE0">
              <w:t xml:space="preserve">Соотношение среднего уровня расчетной бюджетной обеспеченности </w:t>
            </w:r>
            <w:r w:rsidRPr="000F5AE0">
              <w:br/>
              <w:t>3-х наиболее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поселений, со средним уровнем расчетной бюджетной обеспеченности 3-х наименее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6276C0" w:rsidRDefault="00A03E49" w:rsidP="00C97D6F">
            <w:pPr>
              <w:jc w:val="center"/>
            </w:pPr>
            <w:r w:rsidRPr="006276C0"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6276C0" w:rsidRDefault="00A03E49" w:rsidP="00C97D6F">
            <w:pPr>
              <w:jc w:val="center"/>
            </w:pPr>
            <w:r w:rsidRPr="006276C0">
              <w:t>2,83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6276C0" w:rsidRDefault="00A03E49" w:rsidP="00C97D6F">
            <w:pPr>
              <w:jc w:val="center"/>
            </w:pPr>
            <w:r w:rsidRPr="006276C0">
              <w:t>2,54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6C0">
              <w:t>111,4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4E7A2C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желаемой </w:t>
            </w:r>
            <w:r w:rsidRPr="004E7A2C">
              <w:rPr>
                <w:sz w:val="20"/>
                <w:szCs w:val="20"/>
              </w:rPr>
              <w:t>тенденци</w:t>
            </w:r>
            <w:r>
              <w:rPr>
                <w:sz w:val="20"/>
                <w:szCs w:val="20"/>
              </w:rPr>
              <w:t>и</w:t>
            </w:r>
            <w:r w:rsidRPr="004E7A2C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-</w:t>
            </w:r>
            <w:r w:rsidRPr="004E7A2C">
              <w:rPr>
                <w:sz w:val="20"/>
                <w:szCs w:val="20"/>
              </w:rPr>
              <w:t xml:space="preserve"> снижение значения данного показателя </w:t>
            </w: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F540A" w:rsidRDefault="00A03E49" w:rsidP="00C97D6F">
            <w:r w:rsidRPr="00AF540A">
              <w:t xml:space="preserve">3. </w:t>
            </w:r>
            <w:r w:rsidRPr="000A0A50">
              <w:t xml:space="preserve">Соблюдение ограничений по уровню расходов на </w:t>
            </w:r>
            <w:r>
              <w:t xml:space="preserve">обслуживание </w:t>
            </w:r>
            <w:r w:rsidRPr="000A0A50">
              <w:t>муниципального долга</w:t>
            </w:r>
            <w:r>
              <w:t>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 w:rsidRPr="006276C0"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 w:rsidRPr="006276C0"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>
              <w:t>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6C0"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84A54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C97D6F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F540A" w:rsidRDefault="00A03E49" w:rsidP="00C97D6F">
            <w:r w:rsidRPr="00AF540A">
              <w:t xml:space="preserve">4. </w:t>
            </w:r>
            <w:r w:rsidRPr="000F5AE0">
              <w:t xml:space="preserve">Количество </w:t>
            </w:r>
            <w:r>
              <w:t>человек</w:t>
            </w:r>
            <w:r w:rsidRPr="000F5AE0">
              <w:t xml:space="preserve">, охваченных мероприятиями, направленными на повышение финансовой грамотности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85CF4" w:rsidRDefault="00A03E49" w:rsidP="00C97D6F">
            <w:pPr>
              <w:jc w:val="center"/>
              <w:rPr>
                <w:highlight w:val="yellow"/>
              </w:rPr>
            </w:pPr>
            <w:r w:rsidRPr="00D84A54"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  <w:rPr>
                <w:highlight w:val="yellow"/>
              </w:rPr>
            </w:pPr>
            <w:r w:rsidRPr="006276C0">
              <w:t>1380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jc w:val="center"/>
            </w:pPr>
            <w:r w:rsidRPr="006276C0">
              <w:t>1408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276C0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6C0">
              <w:t>102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85CF4" w:rsidRDefault="00A03E49" w:rsidP="00C97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84A54">
              <w:rPr>
                <w:sz w:val="20"/>
                <w:szCs w:val="20"/>
              </w:rPr>
              <w:t>Выполнен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03E49" w:rsidRDefault="00A03E49" w:rsidP="00A03E4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03E49" w:rsidRPr="00665925" w:rsidRDefault="00A03E49" w:rsidP="00A03E49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A03E49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lastRenderedPageBreak/>
        <w:t>ОЦЕНКА</w:t>
      </w: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457D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20</w:t>
      </w:r>
      <w:r w:rsidRPr="00D569BF">
        <w:rPr>
          <w:sz w:val="26"/>
          <w:szCs w:val="26"/>
        </w:rPr>
        <w:t xml:space="preserve"> год</w:t>
      </w:r>
    </w:p>
    <w:p w:rsidR="00A03E49" w:rsidRPr="00D569BF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8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552"/>
        <w:gridCol w:w="1128"/>
        <w:gridCol w:w="1138"/>
        <w:gridCol w:w="1134"/>
        <w:gridCol w:w="1031"/>
        <w:gridCol w:w="4215"/>
      </w:tblGrid>
      <w:tr w:rsidR="00A03E49" w:rsidRPr="00931E52" w:rsidTr="00C97D6F">
        <w:trPr>
          <w:trHeight w:val="7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Примечание</w:t>
            </w:r>
          </w:p>
        </w:tc>
      </w:tr>
      <w:tr w:rsidR="00A03E49" w:rsidRPr="00931E52" w:rsidTr="00C97D6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AB0">
              <w:rPr>
                <w:sz w:val="20"/>
                <w:szCs w:val="20"/>
              </w:rPr>
              <w:t>7</w:t>
            </w:r>
          </w:p>
        </w:tc>
      </w:tr>
      <w:tr w:rsidR="00A03E49" w:rsidRPr="00931E52" w:rsidTr="00C97D6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944A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944A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944A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944A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944A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4B07E4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17DE2">
              <w:rPr>
                <w:sz w:val="20"/>
                <w:szCs w:val="20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8</w:t>
            </w:r>
            <w:r w:rsidRPr="00935AB0">
              <w:rPr>
                <w:sz w:val="22"/>
                <w:szCs w:val="22"/>
              </w:rPr>
              <w:t xml:space="preserve"> запланированных мероприятий муницип</w:t>
            </w:r>
            <w:r>
              <w:rPr>
                <w:sz w:val="22"/>
                <w:szCs w:val="22"/>
              </w:rPr>
              <w:t xml:space="preserve">альной программы выполнены все 8 </w:t>
            </w:r>
            <w:r w:rsidRPr="00935AB0">
              <w:rPr>
                <w:sz w:val="22"/>
                <w:szCs w:val="22"/>
              </w:rPr>
              <w:t>мероприятий</w:t>
            </w:r>
          </w:p>
        </w:tc>
      </w:tr>
      <w:tr w:rsidR="00A03E49" w:rsidRPr="00931E52" w:rsidTr="00C97D6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A03E49" w:rsidRPr="00931E5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CC07B4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всем </w:t>
            </w:r>
            <w:r w:rsidRPr="00935AB0">
              <w:rPr>
                <w:sz w:val="22"/>
                <w:szCs w:val="22"/>
              </w:rPr>
              <w:t>целевым показателям достигнуто соответствие целевым показателям, запланированным муниципальной программой</w:t>
            </w:r>
          </w:p>
        </w:tc>
      </w:tr>
      <w:tr w:rsidR="00A03E49" w:rsidRPr="00931E52" w:rsidTr="00C97D6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5AB0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B0">
              <w:rPr>
                <w:sz w:val="22"/>
                <w:szCs w:val="22"/>
              </w:rPr>
              <w:t xml:space="preserve">Кассовые расходы </w:t>
            </w:r>
            <w:r>
              <w:rPr>
                <w:sz w:val="22"/>
                <w:szCs w:val="22"/>
              </w:rPr>
              <w:t>42 398,8</w:t>
            </w:r>
            <w:r w:rsidRPr="00935AB0">
              <w:rPr>
                <w:sz w:val="22"/>
                <w:szCs w:val="22"/>
              </w:rPr>
              <w:t xml:space="preserve"> тыс. руб.</w:t>
            </w:r>
          </w:p>
          <w:p w:rsidR="00A03E49" w:rsidRPr="0089777A" w:rsidRDefault="00A03E49" w:rsidP="00C97D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5AB0">
              <w:rPr>
                <w:sz w:val="22"/>
                <w:szCs w:val="22"/>
              </w:rPr>
              <w:t xml:space="preserve">Запланированные расходы </w:t>
            </w:r>
            <w:r>
              <w:rPr>
                <w:sz w:val="22"/>
                <w:szCs w:val="22"/>
              </w:rPr>
              <w:t>44 790,6</w:t>
            </w:r>
            <w:r w:rsidRPr="00935AB0">
              <w:rPr>
                <w:sz w:val="22"/>
                <w:szCs w:val="22"/>
              </w:rPr>
              <w:t xml:space="preserve"> тыс. руб.  </w:t>
            </w:r>
          </w:p>
        </w:tc>
      </w:tr>
      <w:tr w:rsidR="00A03E49" w:rsidRPr="00931E52" w:rsidTr="00C97D6F">
        <w:trPr>
          <w:trHeight w:val="218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931E52" w:rsidRDefault="00A03E49" w:rsidP="00C97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</w:t>
            </w:r>
            <w:proofErr w:type="gramStart"/>
            <w:r>
              <w:rPr>
                <w:sz w:val="20"/>
                <w:szCs w:val="20"/>
              </w:rPr>
              <w:t xml:space="preserve">)»   </w:t>
            </w:r>
            <w:proofErr w:type="gramEnd"/>
            <w:r>
              <w:rPr>
                <w:sz w:val="20"/>
                <w:szCs w:val="20"/>
              </w:rPr>
              <w:t xml:space="preserve">                        98,94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2B97" wp14:editId="2197F069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0"/>
                <wp:effectExtent l="5715" t="8255" r="1333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19E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sectPr w:rsidR="00A03E49" w:rsidSect="00FB5F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D"/>
    <w:rsid w:val="000133BC"/>
    <w:rsid w:val="00835E5B"/>
    <w:rsid w:val="009D44CD"/>
    <w:rsid w:val="00A03E49"/>
    <w:rsid w:val="00B50933"/>
    <w:rsid w:val="00E4641D"/>
    <w:rsid w:val="00E93C00"/>
    <w:rsid w:val="00F94ABD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ECF9-A808-452B-BB88-A6C044C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Чебурина Светлана Валерьевна</dc:creator>
  <cp:keywords/>
  <dc:description/>
  <cp:lastModifiedBy>Корюкаева Татьяна Валериановна</cp:lastModifiedBy>
  <cp:revision>7</cp:revision>
  <dcterms:created xsi:type="dcterms:W3CDTF">2020-02-27T08:26:00Z</dcterms:created>
  <dcterms:modified xsi:type="dcterms:W3CDTF">2021-02-24T12:26:00Z</dcterms:modified>
</cp:coreProperties>
</file>