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66"/>
        <w:gridCol w:w="3644"/>
        <w:gridCol w:w="2977"/>
        <w:gridCol w:w="1559"/>
        <w:gridCol w:w="1842"/>
      </w:tblGrid>
      <w:tr w:rsidR="000273C0" w:rsidRPr="000273C0" w:rsidTr="000273C0">
        <w:trPr>
          <w:trHeight w:val="795"/>
        </w:trPr>
        <w:tc>
          <w:tcPr>
            <w:tcW w:w="10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lang w:eastAsia="ru-RU"/>
              </w:rPr>
              <w:t xml:space="preserve">Отчет об исполнении районного бюджета по доходам, расходам </w:t>
            </w:r>
          </w:p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lang w:eastAsia="ru-RU"/>
              </w:rPr>
              <w:t>и источникам финансиров</w:t>
            </w:r>
            <w:r>
              <w:rPr>
                <w:b/>
                <w:bCs/>
                <w:color w:val="000000"/>
                <w:kern w:val="0"/>
                <w:lang w:eastAsia="ru-RU"/>
              </w:rPr>
              <w:t xml:space="preserve">ания дефицита районного бюджета </w:t>
            </w:r>
            <w:r w:rsidRPr="000273C0">
              <w:rPr>
                <w:b/>
                <w:bCs/>
                <w:color w:val="000000"/>
                <w:kern w:val="0"/>
                <w:lang w:eastAsia="ru-RU"/>
              </w:rPr>
              <w:t xml:space="preserve">за 2019 год       </w:t>
            </w:r>
          </w:p>
        </w:tc>
      </w:tr>
      <w:tr w:rsidR="000273C0" w:rsidRPr="000273C0" w:rsidTr="000273C0">
        <w:trPr>
          <w:trHeight w:val="330"/>
        </w:trPr>
        <w:tc>
          <w:tcPr>
            <w:tcW w:w="7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3C0" w:rsidRPr="000273C0" w:rsidRDefault="000273C0" w:rsidP="000273C0">
            <w:pPr>
              <w:suppressAutoHyphens w:val="0"/>
              <w:rPr>
                <w:b/>
                <w:bCs/>
                <w:color w:val="000000"/>
                <w:kern w:val="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0273C0">
              <w:rPr>
                <w:color w:val="000000"/>
                <w:kern w:val="0"/>
                <w:sz w:val="22"/>
                <w:szCs w:val="22"/>
                <w:lang w:eastAsia="ru-RU"/>
              </w:rPr>
              <w:t>тыс</w:t>
            </w:r>
            <w:proofErr w:type="gramStart"/>
            <w:r w:rsidRPr="000273C0">
              <w:rPr>
                <w:color w:val="000000"/>
                <w:kern w:val="0"/>
                <w:sz w:val="22"/>
                <w:szCs w:val="22"/>
                <w:lang w:eastAsia="ru-RU"/>
              </w:rPr>
              <w:t>.р</w:t>
            </w:r>
            <w:proofErr w:type="gramEnd"/>
            <w:r w:rsidRPr="000273C0">
              <w:rPr>
                <w:color w:val="000000"/>
                <w:kern w:val="0"/>
                <w:sz w:val="22"/>
                <w:szCs w:val="22"/>
                <w:lang w:eastAsia="ru-RU"/>
              </w:rPr>
              <w:t>ублей</w:t>
            </w:r>
            <w:proofErr w:type="spellEnd"/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План на 2019 г.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Исполнено 2019 г.</w:t>
            </w:r>
          </w:p>
        </w:tc>
      </w:tr>
      <w:tr w:rsidR="000273C0" w:rsidRPr="000273C0" w:rsidTr="000273C0">
        <w:trPr>
          <w:trHeight w:val="17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color w:val="000000"/>
                <w:kern w:val="0"/>
                <w:sz w:val="12"/>
                <w:szCs w:val="12"/>
                <w:lang w:eastAsia="ru-RU"/>
              </w:rPr>
            </w:pPr>
            <w:r w:rsidRPr="000273C0">
              <w:rPr>
                <w:b/>
                <w:color w:val="000000"/>
                <w:kern w:val="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color w:val="000000"/>
                <w:kern w:val="0"/>
                <w:sz w:val="12"/>
                <w:szCs w:val="12"/>
                <w:lang w:eastAsia="ru-RU"/>
              </w:rPr>
            </w:pPr>
            <w:r w:rsidRPr="000273C0">
              <w:rPr>
                <w:b/>
                <w:color w:val="000000"/>
                <w:kern w:val="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color w:val="000000"/>
                <w:kern w:val="0"/>
                <w:sz w:val="12"/>
                <w:szCs w:val="12"/>
                <w:lang w:eastAsia="ru-RU"/>
              </w:rPr>
            </w:pPr>
            <w:r w:rsidRPr="000273C0">
              <w:rPr>
                <w:b/>
                <w:color w:val="000000"/>
                <w:kern w:val="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color w:val="000000"/>
                <w:kern w:val="0"/>
                <w:sz w:val="12"/>
                <w:szCs w:val="12"/>
                <w:lang w:eastAsia="ru-RU"/>
              </w:rPr>
            </w:pPr>
            <w:r w:rsidRPr="000273C0">
              <w:rPr>
                <w:b/>
                <w:color w:val="000000"/>
                <w:kern w:val="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color w:val="000000"/>
                <w:kern w:val="0"/>
                <w:sz w:val="12"/>
                <w:szCs w:val="12"/>
                <w:lang w:eastAsia="ru-RU"/>
              </w:rPr>
            </w:pPr>
            <w:r w:rsidRPr="000273C0">
              <w:rPr>
                <w:b/>
                <w:color w:val="000000"/>
                <w:kern w:val="0"/>
                <w:sz w:val="12"/>
                <w:szCs w:val="12"/>
                <w:lang w:eastAsia="ru-RU"/>
              </w:rPr>
              <w:t>5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273C0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1 323 083,5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1 277 447,7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Налоговые и неналоговые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332 794,3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351 840,7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266 188,3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282 200,8</w:t>
            </w:r>
          </w:p>
        </w:tc>
      </w:tr>
      <w:tr w:rsidR="000273C0" w:rsidRPr="000273C0" w:rsidTr="000273C0">
        <w:trPr>
          <w:trHeight w:val="76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16 565,0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18 068,2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5 765,0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6 023,5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11 005,4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11 008,3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429,5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531,7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177,9</w:t>
            </w:r>
          </w:p>
        </w:tc>
      </w:tr>
      <w:tr w:rsidR="000273C0" w:rsidRPr="000273C0" w:rsidTr="000273C0">
        <w:trPr>
          <w:trHeight w:val="153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000 1 11 01000 00 0000 120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11,7</w:t>
            </w:r>
          </w:p>
        </w:tc>
      </w:tr>
      <w:tr w:rsidR="000273C0" w:rsidRPr="000273C0" w:rsidTr="000273C0">
        <w:trPr>
          <w:trHeight w:val="178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10 965,0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11 517,0</w:t>
            </w:r>
          </w:p>
        </w:tc>
      </w:tr>
      <w:tr w:rsidR="000273C0" w:rsidRPr="000273C0" w:rsidTr="000273C0">
        <w:trPr>
          <w:trHeight w:val="178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301,9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5 226,0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5 188,7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1.1.11.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000 113 00000 00 0000 000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161,8</w:t>
            </w:r>
          </w:p>
        </w:tc>
      </w:tr>
      <w:tr w:rsidR="000273C0" w:rsidRPr="000273C0" w:rsidTr="000273C0">
        <w:trPr>
          <w:trHeight w:val="153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1.1.12.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17,0</w:t>
            </w:r>
          </w:p>
        </w:tc>
      </w:tr>
      <w:tr w:rsidR="000273C0" w:rsidRPr="000273C0" w:rsidTr="000273C0">
        <w:trPr>
          <w:trHeight w:val="10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1.1.13.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11 835,0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12 143,6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1.1.14.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4 252,2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4 474,4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1.1.14.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14,2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990 289,2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925 607,0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19 622,7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19 622,7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387 132,9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327 438,4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455 337,3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455 274,3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122 244,2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117 319,5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2 160,0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2 160,0</w:t>
            </w:r>
          </w:p>
        </w:tc>
      </w:tr>
      <w:tr w:rsidR="000273C0" w:rsidRPr="000273C0" w:rsidTr="000273C0">
        <w:trPr>
          <w:trHeight w:val="102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4 224,7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4 224,7</w:t>
            </w:r>
          </w:p>
        </w:tc>
      </w:tr>
      <w:tr w:rsidR="000273C0" w:rsidRPr="000273C0" w:rsidTr="000273C0">
        <w:trPr>
          <w:trHeight w:val="76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-432,6</w:t>
            </w:r>
          </w:p>
          <w:p w:rsidR="000273C0" w:rsidRPr="000273C0" w:rsidRDefault="000273C0" w:rsidP="000273C0">
            <w:pPr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-432,6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1 327 847,6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1 249 580,0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000 0100 0000000 000 000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80 386,1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77 625,2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000 0200 0000000 000 000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2 950,6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2 950,6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000 0300 0000000 000 000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18 758,1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18 699,3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000 0400 0000000 000 000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115 408,5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114 731,9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000 0500 0000000 000 000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25 216,6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23 359,2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000 0600 0000000 000 000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13 618,4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9 975,2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000 0700 0000000 000 000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839 128,3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773 511,1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000 0800 0000000 000 000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136 694,0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134 468,6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000 1000 0000000 000 000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34 493,9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33 797,1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000 1100 0000000 000 000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5 426,1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5 425,4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000 1300 0000000 000 000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992,1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261,5</w:t>
            </w:r>
          </w:p>
        </w:tc>
      </w:tr>
      <w:tr w:rsidR="000273C0" w:rsidRPr="000273C0" w:rsidTr="000273C0">
        <w:trPr>
          <w:trHeight w:val="76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  000 1400 0000000 000 000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54 774,9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54 774,9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0273C0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Превышение доходов над расходами</w:t>
            </w:r>
            <w:proofErr w:type="gramStart"/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дефицит (-)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-4 764,1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27 867,7</w:t>
            </w:r>
          </w:p>
        </w:tc>
      </w:tr>
      <w:tr w:rsidR="000273C0" w:rsidRPr="000273C0" w:rsidTr="000273C0">
        <w:trPr>
          <w:trHeight w:val="30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Источники покрытия дефицита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000 0 10 0000000 0000 000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4 764,1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-27 867,7</w:t>
            </w:r>
          </w:p>
        </w:tc>
      </w:tr>
      <w:tr w:rsidR="000273C0" w:rsidRPr="000273C0" w:rsidTr="000273C0">
        <w:trPr>
          <w:trHeight w:val="51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000 0 10 2000000 0000 000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-10 500,0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-10 500,0</w:t>
            </w:r>
          </w:p>
        </w:tc>
      </w:tr>
      <w:tr w:rsidR="000273C0" w:rsidRPr="000273C0" w:rsidTr="000273C0">
        <w:trPr>
          <w:trHeight w:val="52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000 0 10 5000000 0000 000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15 264,1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73C0" w:rsidRPr="000273C0" w:rsidRDefault="000273C0" w:rsidP="000273C0">
            <w:pPr>
              <w:suppressAutoHyphens w:val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0273C0">
              <w:rPr>
                <w:color w:val="000000"/>
                <w:kern w:val="0"/>
                <w:sz w:val="20"/>
                <w:szCs w:val="20"/>
                <w:lang w:eastAsia="ru-RU"/>
              </w:rPr>
              <w:t>-17 367,7</w:t>
            </w:r>
          </w:p>
        </w:tc>
      </w:tr>
    </w:tbl>
    <w:p w:rsidR="000273C0" w:rsidRPr="00DF674F" w:rsidRDefault="000273C0" w:rsidP="000273C0">
      <w:pPr>
        <w:rPr>
          <w:highlight w:val="yellow"/>
        </w:rPr>
      </w:pPr>
    </w:p>
    <w:p w:rsidR="000273C0" w:rsidRPr="000273C0" w:rsidRDefault="000273C0" w:rsidP="000273C0">
      <w:pPr>
        <w:pStyle w:val="a3"/>
        <w:ind w:firstLine="709"/>
      </w:pPr>
      <w:r w:rsidRPr="000273C0">
        <w:t xml:space="preserve">Бюджет муниципального образования «Приморский муниципальный район» исполнен за 2019 год </w:t>
      </w:r>
      <w:r w:rsidRPr="000273C0">
        <w:rPr>
          <w:b/>
        </w:rPr>
        <w:t xml:space="preserve">по доходам в объеме 1 277 447,7 тыс. рублей или на 97% </w:t>
      </w:r>
      <w:r w:rsidRPr="000273C0">
        <w:t xml:space="preserve">к уточненным годовым назначениям. </w:t>
      </w:r>
    </w:p>
    <w:p w:rsidR="000273C0" w:rsidRPr="000273C0" w:rsidRDefault="000273C0" w:rsidP="000273C0">
      <w:pPr>
        <w:pStyle w:val="a3"/>
        <w:ind w:firstLine="709"/>
        <w:rPr>
          <w:b/>
        </w:rPr>
      </w:pPr>
      <w:r w:rsidRPr="000273C0">
        <w:rPr>
          <w:b/>
        </w:rPr>
        <w:t>Налоговые и неналоговые доходы</w:t>
      </w:r>
      <w:r w:rsidRPr="000273C0">
        <w:t xml:space="preserve"> за отчетный период поступили в бюджет муниципального образования в объеме </w:t>
      </w:r>
      <w:r w:rsidRPr="000273C0">
        <w:rPr>
          <w:b/>
        </w:rPr>
        <w:t>351 840,7 тыс. рублей,</w:t>
      </w:r>
      <w:r w:rsidRPr="000273C0">
        <w:t xml:space="preserve"> </w:t>
      </w:r>
      <w:r w:rsidRPr="000273C0">
        <w:rPr>
          <w:bCs/>
        </w:rPr>
        <w:t>к уточненным плановым назначениям исполнены</w:t>
      </w:r>
      <w:r w:rsidRPr="000273C0">
        <w:t xml:space="preserve"> на </w:t>
      </w:r>
      <w:r w:rsidRPr="000273C0">
        <w:rPr>
          <w:b/>
        </w:rPr>
        <w:t xml:space="preserve">106%. </w:t>
      </w:r>
    </w:p>
    <w:p w:rsidR="000273C0" w:rsidRPr="000273C0" w:rsidRDefault="000273C0" w:rsidP="000273C0">
      <w:pPr>
        <w:pStyle w:val="a3"/>
        <w:ind w:firstLine="709"/>
      </w:pPr>
      <w:r w:rsidRPr="000273C0">
        <w:t>Основу налоговых и неналоговых доходов бюджета составили:</w:t>
      </w:r>
    </w:p>
    <w:p w:rsidR="000273C0" w:rsidRPr="000273C0" w:rsidRDefault="000273C0" w:rsidP="000273C0">
      <w:pPr>
        <w:pStyle w:val="a3"/>
        <w:ind w:firstLine="709"/>
      </w:pPr>
      <w:r w:rsidRPr="000273C0">
        <w:lastRenderedPageBreak/>
        <w:t>- налог на доходы физических лиц – 80 %</w:t>
      </w:r>
    </w:p>
    <w:p w:rsidR="000273C0" w:rsidRPr="000273C0" w:rsidRDefault="000273C0" w:rsidP="000273C0">
      <w:pPr>
        <w:pStyle w:val="a3"/>
        <w:ind w:firstLine="709"/>
      </w:pPr>
      <w:r w:rsidRPr="000273C0">
        <w:t>- акцизы – 5 %</w:t>
      </w:r>
    </w:p>
    <w:p w:rsidR="000273C0" w:rsidRPr="000273C0" w:rsidRDefault="000273C0" w:rsidP="000273C0">
      <w:pPr>
        <w:pStyle w:val="a3"/>
        <w:ind w:firstLine="709"/>
      </w:pPr>
      <w:r w:rsidRPr="000273C0">
        <w:t>- налоги на совокупный доход – 5 %;</w:t>
      </w:r>
    </w:p>
    <w:p w:rsidR="000273C0" w:rsidRPr="000273C0" w:rsidRDefault="000273C0" w:rsidP="000273C0">
      <w:pPr>
        <w:pStyle w:val="a3"/>
        <w:ind w:firstLine="709"/>
      </w:pPr>
      <w:r w:rsidRPr="000273C0">
        <w:t>- доходы от продажи имущества – 3 %</w:t>
      </w:r>
    </w:p>
    <w:p w:rsidR="000273C0" w:rsidRPr="000273C0" w:rsidRDefault="000273C0" w:rsidP="000273C0">
      <w:pPr>
        <w:pStyle w:val="a3"/>
        <w:ind w:firstLine="709"/>
      </w:pPr>
      <w:r w:rsidRPr="000273C0">
        <w:t>- доходы от использования муниципального имущества – 3 %.</w:t>
      </w:r>
    </w:p>
    <w:p w:rsidR="000273C0" w:rsidRPr="000273C0" w:rsidRDefault="000273C0" w:rsidP="000273C0">
      <w:pPr>
        <w:pStyle w:val="a3"/>
        <w:ind w:firstLine="709"/>
      </w:pPr>
      <w:r w:rsidRPr="000273C0">
        <w:t xml:space="preserve">По отношению к 2018 году исполнение налоговых и неналоговых доходов в 2019 году осуществлено с ростом на </w:t>
      </w:r>
      <w:r w:rsidRPr="000273C0">
        <w:rPr>
          <w:b/>
        </w:rPr>
        <w:t>13</w:t>
      </w:r>
      <w:r w:rsidRPr="000273C0">
        <w:t xml:space="preserve"> процентов или на </w:t>
      </w:r>
      <w:r w:rsidRPr="000273C0">
        <w:rPr>
          <w:b/>
        </w:rPr>
        <w:t>41 565,1</w:t>
      </w:r>
      <w:r w:rsidRPr="000273C0">
        <w:t xml:space="preserve"> тыс. рублей.</w:t>
      </w:r>
    </w:p>
    <w:p w:rsidR="000273C0" w:rsidRPr="000273C0" w:rsidRDefault="000273C0" w:rsidP="000273C0">
      <w:pPr>
        <w:pStyle w:val="a3"/>
        <w:ind w:firstLine="709"/>
      </w:pPr>
      <w:r w:rsidRPr="000273C0">
        <w:rPr>
          <w:color w:val="000000"/>
          <w:shd w:val="clear" w:color="auto" w:fill="FFFFFF"/>
          <w:lang w:eastAsia="ru-RU"/>
        </w:rPr>
        <w:t xml:space="preserve">Наибольший рост поступлений </w:t>
      </w:r>
      <w:r w:rsidRPr="000273C0">
        <w:t xml:space="preserve">сложился за счет четырех источников: </w:t>
      </w:r>
    </w:p>
    <w:p w:rsidR="000273C0" w:rsidRPr="000273C0" w:rsidRDefault="000273C0" w:rsidP="000273C0">
      <w:pPr>
        <w:pStyle w:val="a3"/>
        <w:ind w:firstLine="709"/>
      </w:pPr>
      <w:r w:rsidRPr="000273C0">
        <w:t>- налогу на доходы физических лиц на 40 779,2 тыс. рублей;</w:t>
      </w:r>
    </w:p>
    <w:p w:rsidR="000273C0" w:rsidRPr="000273C0" w:rsidRDefault="000273C0" w:rsidP="000273C0">
      <w:pPr>
        <w:pStyle w:val="a3"/>
        <w:ind w:firstLine="709"/>
      </w:pPr>
      <w:r w:rsidRPr="000273C0">
        <w:t>- акцизам на 1 215,7 тыс. рублей;</w:t>
      </w:r>
    </w:p>
    <w:p w:rsidR="000273C0" w:rsidRPr="000273C0" w:rsidRDefault="000273C0" w:rsidP="000273C0">
      <w:pPr>
        <w:pStyle w:val="a3"/>
        <w:ind w:firstLine="709"/>
      </w:pPr>
      <w:r w:rsidRPr="000273C0">
        <w:t>- налогам на совокупный доход на 2 017,4 тыс. рублей;</w:t>
      </w:r>
    </w:p>
    <w:p w:rsidR="000273C0" w:rsidRPr="000273C0" w:rsidRDefault="000273C0" w:rsidP="000273C0">
      <w:pPr>
        <w:pStyle w:val="a3"/>
        <w:tabs>
          <w:tab w:val="left" w:pos="851"/>
        </w:tabs>
        <w:ind w:firstLine="709"/>
      </w:pPr>
      <w:r w:rsidRPr="000273C0">
        <w:t>- штрафным санкциям на 2 946,7 тыс. рублей.</w:t>
      </w:r>
    </w:p>
    <w:p w:rsidR="000273C0" w:rsidRPr="000273C0" w:rsidRDefault="000273C0" w:rsidP="000273C0">
      <w:pPr>
        <w:pStyle w:val="a3"/>
        <w:ind w:firstLine="709"/>
      </w:pPr>
      <w:r w:rsidRPr="000273C0">
        <w:t>Незначительный рост поступлений сложился по государственной пошлине (+ 30,0 тыс. рублей) и плате за негативное воздействие на окружающую среду (+144,9 тыс. рублей).</w:t>
      </w:r>
    </w:p>
    <w:p w:rsidR="000273C0" w:rsidRPr="000273C0" w:rsidRDefault="000273C0" w:rsidP="000273C0">
      <w:pPr>
        <w:pStyle w:val="a3"/>
        <w:ind w:firstLine="709"/>
        <w:rPr>
          <w:color w:val="000000"/>
        </w:rPr>
      </w:pPr>
      <w:r w:rsidRPr="000273C0">
        <w:rPr>
          <w:color w:val="000000"/>
        </w:rPr>
        <w:t>Снизились по сравнению с 2018 годом поступления доходов от использования имущества, находящегося в государственной и муниципальной собственности (</w:t>
      </w:r>
      <w:r w:rsidRPr="000273C0">
        <w:rPr>
          <w:color w:val="000000"/>
        </w:rPr>
        <w:noBreakHyphen/>
        <w:t>4833,7 тыс. рублей) и доходы от оказания платных услуг и компенсации затрат государства (-706,4 тыс. рублей)</w:t>
      </w:r>
    </w:p>
    <w:p w:rsidR="000273C0" w:rsidRPr="000273C0" w:rsidRDefault="000273C0" w:rsidP="000273C0">
      <w:pPr>
        <w:ind w:firstLine="709"/>
        <w:jc w:val="both"/>
        <w:rPr>
          <w:color w:val="000000"/>
        </w:rPr>
      </w:pPr>
      <w:r w:rsidRPr="000273C0">
        <w:rPr>
          <w:b/>
          <w:color w:val="000000"/>
        </w:rPr>
        <w:t>Налог на доходы</w:t>
      </w:r>
      <w:r w:rsidRPr="000273C0">
        <w:rPr>
          <w:color w:val="000000"/>
        </w:rPr>
        <w:t xml:space="preserve"> </w:t>
      </w:r>
      <w:r w:rsidRPr="000273C0">
        <w:rPr>
          <w:b/>
          <w:color w:val="000000"/>
        </w:rPr>
        <w:t xml:space="preserve">физических лиц </w:t>
      </w:r>
      <w:r w:rsidRPr="000273C0">
        <w:rPr>
          <w:color w:val="000000"/>
        </w:rPr>
        <w:t>поступил</w:t>
      </w:r>
      <w:r w:rsidRPr="000273C0">
        <w:rPr>
          <w:b/>
          <w:color w:val="000000"/>
        </w:rPr>
        <w:t xml:space="preserve"> </w:t>
      </w:r>
      <w:r w:rsidRPr="000273C0">
        <w:rPr>
          <w:color w:val="000000"/>
        </w:rPr>
        <w:t>в сумме 282 200,8 тыс. руб., что выше уровня прошлого года на 40 779,2 тыс. рублей или на 17 % и</w:t>
      </w:r>
      <w:r w:rsidRPr="000273C0">
        <w:rPr>
          <w:color w:val="000000"/>
          <w:kern w:val="0"/>
          <w:shd w:val="clear" w:color="auto" w:fill="FFFFFF"/>
          <w:lang w:eastAsia="ru-RU"/>
        </w:rPr>
        <w:t xml:space="preserve"> обусловлено ростом среднемесячной заработной платы и среднесписочной численности работников организаций, а также постановкой на учет новых налогоплательщиков - организаций, осуществляющих деятельность на территории района</w:t>
      </w:r>
      <w:r w:rsidRPr="000273C0">
        <w:rPr>
          <w:color w:val="000000"/>
        </w:rPr>
        <w:t xml:space="preserve">. К плановым назначениям исполнение составило 106%. </w:t>
      </w:r>
    </w:p>
    <w:p w:rsidR="000273C0" w:rsidRPr="000273C0" w:rsidRDefault="000273C0" w:rsidP="000273C0">
      <w:pPr>
        <w:pStyle w:val="a3"/>
        <w:ind w:firstLine="709"/>
      </w:pPr>
      <w:r w:rsidRPr="000273C0">
        <w:rPr>
          <w:b/>
        </w:rPr>
        <w:t xml:space="preserve">Акцизы </w:t>
      </w:r>
      <w:r w:rsidRPr="000273C0">
        <w:t>поступили в объеме 18 068,2 тыс. рублей, что выше уровня прошлого года на 1215,7 тыс. рублей или на 7 % в основном в результате перераспределения нормативов отчислений. К плановым назначениям исполнение составило 109 %.</w:t>
      </w:r>
    </w:p>
    <w:p w:rsidR="000273C0" w:rsidRPr="000273C0" w:rsidRDefault="000273C0" w:rsidP="000273C0">
      <w:pPr>
        <w:ind w:firstLine="709"/>
        <w:jc w:val="both"/>
      </w:pPr>
      <w:r w:rsidRPr="000273C0">
        <w:t xml:space="preserve">Общая сумма поступлений </w:t>
      </w:r>
      <w:r w:rsidRPr="000273C0">
        <w:rPr>
          <w:b/>
        </w:rPr>
        <w:t>налогов на совокупный доход</w:t>
      </w:r>
      <w:r w:rsidRPr="000273C0">
        <w:t xml:space="preserve"> составила 17 563,5 тыс. рублей и представлена единым налогом на вмененный доход (34 % в общей сумме налогов по специальным налоговым режимам), патентной системой налогообложения (3%) и единым сельскохозяйственным налогом (63%). </w:t>
      </w:r>
      <w:r w:rsidRPr="000273C0">
        <w:rPr>
          <w:b/>
        </w:rPr>
        <w:t>Единый налог на вмененный доход</w:t>
      </w:r>
      <w:r w:rsidRPr="000273C0">
        <w:t xml:space="preserve"> для отдельных видов деятельности поступил в объеме 6 023,5 тыс. рублей и исполнен на 104 % к уточненным плановым назначениям. К уровню 2018 года рост также составил 4%. </w:t>
      </w:r>
      <w:r w:rsidRPr="000273C0">
        <w:rPr>
          <w:b/>
        </w:rPr>
        <w:t>Налог, взимаемый,</w:t>
      </w:r>
      <w:r w:rsidRPr="000273C0">
        <w:t xml:space="preserve"> </w:t>
      </w:r>
      <w:r w:rsidRPr="000273C0">
        <w:rPr>
          <w:b/>
        </w:rPr>
        <w:t>в связи с применением патентной системы налогообложения</w:t>
      </w:r>
      <w:r w:rsidRPr="000273C0">
        <w:t xml:space="preserve"> поступил в объеме 531,7 тыс. рублей, что выше уровня прошлого года практически в 2 раза. К уточненным годовым назначениям исполнение составило 124 %. Увеличение поступлений обусловлено увеличением количества предпринимателей, применяющих патентную систему налогообложения (11 в 2019 году против 9 в 2018 году), а также уплатой задолженности по патенту за 2018 год. </w:t>
      </w:r>
      <w:r w:rsidRPr="000273C0">
        <w:rPr>
          <w:b/>
        </w:rPr>
        <w:t>Единый сельскохозяйственный налог</w:t>
      </w:r>
      <w:r w:rsidRPr="000273C0">
        <w:t xml:space="preserve"> поступил в объеме 11 008,3 тыс. рублей и исполнен на </w:t>
      </w:r>
      <w:r w:rsidRPr="000273C0">
        <w:rPr>
          <w:color w:val="000000"/>
        </w:rPr>
        <w:t xml:space="preserve">100% </w:t>
      </w:r>
      <w:r w:rsidRPr="000273C0">
        <w:t>к уточненным плановым назначениям. К уровню предыдущего финансового года поступления увеличились на 16%, что обусловлено увеличением суммы перечисленных платежей за 2018 год в связи с ростом налогооблагаемой базы.</w:t>
      </w:r>
    </w:p>
    <w:p w:rsidR="000273C0" w:rsidRPr="000273C0" w:rsidRDefault="000273C0" w:rsidP="000273C0">
      <w:pPr>
        <w:pStyle w:val="a3"/>
        <w:ind w:firstLine="709"/>
      </w:pPr>
      <w:r w:rsidRPr="000273C0">
        <w:t xml:space="preserve">Поступления по </w:t>
      </w:r>
      <w:r w:rsidRPr="000273C0">
        <w:rPr>
          <w:b/>
        </w:rPr>
        <w:t xml:space="preserve">государственной пошлине </w:t>
      </w:r>
      <w:r w:rsidRPr="000273C0">
        <w:t>составили</w:t>
      </w:r>
      <w:r w:rsidRPr="000273C0">
        <w:rPr>
          <w:b/>
        </w:rPr>
        <w:t xml:space="preserve"> </w:t>
      </w:r>
      <w:r w:rsidRPr="000273C0">
        <w:t>178,0 тыс. рублей и увеличились по сравнению с 2018 годом на 20 % за счет увеличения числа оказываемых услуг и контрольных мероприятий по надзору в сфере транспорта, а также за выдачу разрешения на установку рекламной конструкции. К плановым назначениям госпошлина исполнена на 117 %.</w:t>
      </w:r>
    </w:p>
    <w:p w:rsidR="000273C0" w:rsidRPr="000273C0" w:rsidRDefault="000273C0" w:rsidP="000273C0">
      <w:pPr>
        <w:pStyle w:val="a3"/>
        <w:ind w:firstLine="709"/>
        <w:rPr>
          <w:kern w:val="2"/>
          <w:shd w:val="clear" w:color="auto" w:fill="FFFFFF"/>
        </w:rPr>
      </w:pPr>
      <w:r w:rsidRPr="000273C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07248" wp14:editId="50BD0BAC">
                <wp:simplePos x="0" y="0"/>
                <wp:positionH relativeFrom="column">
                  <wp:posOffset>-2596515</wp:posOffset>
                </wp:positionH>
                <wp:positionV relativeFrom="paragraph">
                  <wp:posOffset>208915</wp:posOffset>
                </wp:positionV>
                <wp:extent cx="457200" cy="140335"/>
                <wp:effectExtent l="7620" t="10795" r="20955" b="10795"/>
                <wp:wrapNone/>
                <wp:docPr id="1" name="Выгнутая вниз стрел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0335"/>
                        </a:xfrm>
                        <a:prstGeom prst="curvedUpArrow">
                          <a:avLst>
                            <a:gd name="adj1" fmla="val 65158"/>
                            <a:gd name="adj2" fmla="val 130317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3C0" w:rsidRDefault="000273C0" w:rsidP="000273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CC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CC"/>
                              </w:rPr>
                              <w:t>Рост на 36%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1" o:spid="_x0000_s1026" type="#_x0000_t104" style="position:absolute;left:0;text-align:left;margin-left:-204.45pt;margin-top:16.45pt;width:36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" fillcolor="red">
                <v:textbox>
                  <w:txbxContent>
                    <w:p w:rsidR="000273C0" w:rsidRDefault="000273C0" w:rsidP="000273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CC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CC"/>
                        </w:rPr>
                        <w:t>Рост на 36%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0273C0">
        <w:rPr>
          <w:b/>
        </w:rPr>
        <w:t>Доходы от использования имущества</w:t>
      </w:r>
      <w:r w:rsidRPr="000273C0">
        <w:t xml:space="preserve">, находящегося в муниципальной собственности на 97 % сформированы за счет поступлений арендных платежей за землю и составили в отчетном периоде 11 830,6 тыс. руб., что ниже уровня предыдущего финансового года на 4 833,7 тыс. руб. или на 29 %. </w:t>
      </w:r>
      <w:r w:rsidRPr="000273C0">
        <w:rPr>
          <w:color w:val="000000"/>
          <w:kern w:val="0"/>
          <w:shd w:val="clear" w:color="auto" w:fill="FFFFFF"/>
          <w:lang w:eastAsia="ru-RU"/>
        </w:rPr>
        <w:t>Снижение поступлений в отчетном году по сравнению с 2018 годом связано с уплатой в 2018 году задолженности по арендной</w:t>
      </w:r>
      <w:proofErr w:type="gramEnd"/>
      <w:r w:rsidRPr="000273C0">
        <w:rPr>
          <w:color w:val="000000"/>
          <w:kern w:val="0"/>
          <w:shd w:val="clear" w:color="auto" w:fill="FFFFFF"/>
          <w:lang w:eastAsia="ru-RU"/>
        </w:rPr>
        <w:t xml:space="preserve"> плате за земельные участки по результатам </w:t>
      </w:r>
      <w:proofErr w:type="spellStart"/>
      <w:r w:rsidRPr="000273C0">
        <w:rPr>
          <w:color w:val="000000"/>
          <w:kern w:val="0"/>
          <w:shd w:val="clear" w:color="auto" w:fill="FFFFFF"/>
          <w:lang w:eastAsia="ru-RU"/>
        </w:rPr>
        <w:t>претензионно</w:t>
      </w:r>
      <w:proofErr w:type="spellEnd"/>
      <w:r w:rsidRPr="000273C0">
        <w:rPr>
          <w:color w:val="000000"/>
          <w:kern w:val="0"/>
          <w:shd w:val="clear" w:color="auto" w:fill="FFFFFF"/>
          <w:lang w:eastAsia="ru-RU"/>
        </w:rPr>
        <w:t xml:space="preserve"> - исковой работы, а также "выпадением" доходов по причине расторжения в 2019 году договоров аренды земельных участков в связи с выкупом.</w:t>
      </w:r>
    </w:p>
    <w:p w:rsidR="000273C0" w:rsidRPr="000273C0" w:rsidRDefault="000273C0" w:rsidP="000273C0">
      <w:pPr>
        <w:pStyle w:val="a3"/>
        <w:ind w:firstLine="709"/>
      </w:pPr>
      <w:r w:rsidRPr="000273C0">
        <w:t>Поступления</w:t>
      </w:r>
      <w:r w:rsidRPr="000273C0">
        <w:rPr>
          <w:b/>
        </w:rPr>
        <w:t xml:space="preserve"> платы за негативное воздействие на окружающую среду</w:t>
      </w:r>
      <w:r w:rsidRPr="000273C0">
        <w:t xml:space="preserve"> составили 5 188,7 тыс. рублей, превысив уровень 2018 года на 3 %. К уточненным плановым назначениям исполнение составило 99 %.</w:t>
      </w:r>
    </w:p>
    <w:p w:rsidR="000273C0" w:rsidRPr="000273C0" w:rsidRDefault="000273C0" w:rsidP="000273C0">
      <w:pPr>
        <w:pStyle w:val="a3"/>
        <w:ind w:firstLine="709"/>
        <w:rPr>
          <w:color w:val="000000"/>
        </w:rPr>
      </w:pPr>
      <w:r w:rsidRPr="000273C0">
        <w:t xml:space="preserve">Доходы </w:t>
      </w:r>
      <w:r w:rsidRPr="000273C0">
        <w:rPr>
          <w:b/>
        </w:rPr>
        <w:t>от оказания платных услуг и компенсации затрат государства</w:t>
      </w:r>
      <w:r w:rsidRPr="000273C0">
        <w:t xml:space="preserve"> поступили в объеме 161,8 тыс. рублей. К уточненным плановым назначениям исполнение составило 201 % за счет </w:t>
      </w:r>
      <w:r w:rsidRPr="000273C0">
        <w:lastRenderedPageBreak/>
        <w:t>поступления доходов от возврата задолженности прошлых лет по выплате пособий по временной нетрудоспособности. По сравнению с предыдущим финансовым годом поступления снизились (-81%) в связи с расторжением договора аренды имущества, предусматривающего компенсацию стоимости коммунальных услуг.</w:t>
      </w:r>
    </w:p>
    <w:p w:rsidR="000273C0" w:rsidRPr="000273C0" w:rsidRDefault="000273C0" w:rsidP="000273C0">
      <w:pPr>
        <w:pStyle w:val="a3"/>
        <w:ind w:firstLine="709"/>
      </w:pPr>
      <w:r w:rsidRPr="000273C0">
        <w:rPr>
          <w:b/>
        </w:rPr>
        <w:t>Доходы от продажи материальных и нематериальных активов</w:t>
      </w:r>
      <w:r w:rsidRPr="000273C0">
        <w:t xml:space="preserve"> поступили на уровне предыдущего финансового года и составили 12 160,6 тыс. рублей. К плановым назначениям доходы по данному источнику исполнены на 103 %. </w:t>
      </w:r>
    </w:p>
    <w:p w:rsidR="000273C0" w:rsidRPr="000273C0" w:rsidRDefault="000273C0" w:rsidP="000273C0">
      <w:pPr>
        <w:ind w:firstLine="709"/>
        <w:jc w:val="both"/>
        <w:rPr>
          <w:kern w:val="0"/>
          <w:highlight w:val="yellow"/>
          <w:lang w:eastAsia="ru-RU"/>
        </w:rPr>
      </w:pPr>
      <w:r w:rsidRPr="000273C0">
        <w:rPr>
          <w:b/>
          <w:color w:val="000000"/>
        </w:rPr>
        <w:t xml:space="preserve"> Штрафные санкции</w:t>
      </w:r>
      <w:r w:rsidRPr="000273C0">
        <w:rPr>
          <w:color w:val="000000"/>
        </w:rPr>
        <w:t xml:space="preserve"> поступили в объеме 4474,4 тыс. рублей, что выше показателей 2018 года практически в 3 раза. </w:t>
      </w:r>
      <w:proofErr w:type="gramStart"/>
      <w:r w:rsidRPr="000273C0">
        <w:rPr>
          <w:color w:val="000000"/>
        </w:rPr>
        <w:t>К годовым назначениям исполнение по данному источнику составило 105 %.</w:t>
      </w:r>
      <w:r w:rsidRPr="000273C0">
        <w:rPr>
          <w:kern w:val="0"/>
          <w:lang w:eastAsia="ru-RU"/>
        </w:rPr>
        <w:t xml:space="preserve"> </w:t>
      </w:r>
      <w:r w:rsidRPr="000273C0">
        <w:rPr>
          <w:color w:val="000000"/>
          <w:kern w:val="0"/>
          <w:shd w:val="clear" w:color="auto" w:fill="FFFFFF"/>
          <w:lang w:eastAsia="ru-RU"/>
        </w:rPr>
        <w:t xml:space="preserve">Основу составили суммы по искам о возмещении вреда, причиненного окружающей среде (55% в общем объеме поступлений), прочие поступления от денежных взысканий (штрафов) и иных сумм в возмещение ущерба (28%), </w:t>
      </w:r>
      <w:r w:rsidRPr="000273C0">
        <w:rPr>
          <w:kern w:val="0"/>
          <w:lang w:eastAsia="ru-RU"/>
        </w:rPr>
        <w:t>а также штрафы за нарушения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(8 %).</w:t>
      </w:r>
      <w:proofErr w:type="gramEnd"/>
    </w:p>
    <w:p w:rsidR="000273C0" w:rsidRPr="000273C0" w:rsidRDefault="000273C0" w:rsidP="000273C0">
      <w:pPr>
        <w:pStyle w:val="csd175e48c"/>
      </w:pPr>
      <w:r w:rsidRPr="000273C0">
        <w:rPr>
          <w:rStyle w:val="cs9c87e9091"/>
          <w:sz w:val="24"/>
          <w:szCs w:val="24"/>
        </w:rPr>
        <w:t xml:space="preserve">Безвозмездные поступления </w:t>
      </w:r>
      <w:r w:rsidRPr="000273C0">
        <w:rPr>
          <w:rStyle w:val="cs9c87e9091"/>
          <w:b w:val="0"/>
          <w:sz w:val="24"/>
          <w:szCs w:val="24"/>
        </w:rPr>
        <w:t>составили 925 607,0 тыс. рублей</w:t>
      </w:r>
      <w:r w:rsidRPr="000273C0">
        <w:rPr>
          <w:rStyle w:val="csdb65fd031"/>
          <w:sz w:val="24"/>
          <w:szCs w:val="24"/>
        </w:rPr>
        <w:t xml:space="preserve">, к годовым назначениям исполнены на </w:t>
      </w:r>
      <w:r w:rsidRPr="000273C0">
        <w:rPr>
          <w:rStyle w:val="cs9c87e9091"/>
          <w:sz w:val="24"/>
          <w:szCs w:val="24"/>
        </w:rPr>
        <w:t xml:space="preserve">93%, </w:t>
      </w:r>
      <w:r w:rsidRPr="000273C0">
        <w:rPr>
          <w:rStyle w:val="csdb65fd031"/>
          <w:sz w:val="24"/>
          <w:szCs w:val="24"/>
        </w:rPr>
        <w:t>из них:</w:t>
      </w:r>
    </w:p>
    <w:p w:rsidR="000273C0" w:rsidRPr="000273C0" w:rsidRDefault="000273C0" w:rsidP="000273C0">
      <w:pPr>
        <w:pStyle w:val="csd175e48c"/>
      </w:pPr>
      <w:r w:rsidRPr="000273C0">
        <w:rPr>
          <w:rStyle w:val="csdb65fd031"/>
          <w:sz w:val="24"/>
          <w:szCs w:val="24"/>
        </w:rPr>
        <w:t>безвозмездные поступления от других бюджетов бюджетной системы Российской Федерации 919 654,9 тыс. рублей, в том числе: дотации 19 622,7 тыс. рублей, субсидии  327 438,4 тыс. рублей, субвенции 455 274,3 тыс. рублей, иные межбюджетные трансферты 117 319,5 тыс. рублей,</w:t>
      </w:r>
    </w:p>
    <w:p w:rsidR="000273C0" w:rsidRPr="000273C0" w:rsidRDefault="000273C0" w:rsidP="000273C0">
      <w:pPr>
        <w:pStyle w:val="csd175e48c"/>
      </w:pPr>
      <w:r w:rsidRPr="000273C0">
        <w:rPr>
          <w:rStyle w:val="csdb65fd031"/>
          <w:sz w:val="24"/>
          <w:szCs w:val="24"/>
        </w:rPr>
        <w:t>прочие</w:t>
      </w:r>
      <w:r w:rsidRPr="000273C0">
        <w:rPr>
          <w:rStyle w:val="csc09459341"/>
          <w:sz w:val="24"/>
          <w:szCs w:val="24"/>
        </w:rPr>
        <w:t xml:space="preserve"> безвозмездные поступления 2 160,0</w:t>
      </w:r>
      <w:r w:rsidRPr="000273C0">
        <w:rPr>
          <w:rStyle w:val="csdb65fd031"/>
          <w:sz w:val="24"/>
          <w:szCs w:val="24"/>
        </w:rPr>
        <w:t xml:space="preserve"> тыс. рублей,</w:t>
      </w:r>
    </w:p>
    <w:p w:rsidR="000273C0" w:rsidRPr="000273C0" w:rsidRDefault="000273C0" w:rsidP="000273C0">
      <w:pPr>
        <w:pStyle w:val="csd175e48c"/>
      </w:pPr>
      <w:r w:rsidRPr="000273C0">
        <w:rPr>
          <w:rStyle w:val="csdb65fd031"/>
          <w:sz w:val="24"/>
          <w:szCs w:val="24"/>
        </w:rPr>
        <w:t>доходы от возврата бюджетами бюджетной системы Российской Федерации и организациями остатков межбюджетных трансфертов, имеющих целевое назначение 4 224,7 тыс. рублей,</w:t>
      </w:r>
    </w:p>
    <w:p w:rsidR="000273C0" w:rsidRPr="000273C0" w:rsidRDefault="000273C0" w:rsidP="000273C0">
      <w:pPr>
        <w:pStyle w:val="csd175e48c"/>
      </w:pPr>
      <w:r w:rsidRPr="000273C0">
        <w:rPr>
          <w:rStyle w:val="csdb65fd031"/>
          <w:sz w:val="24"/>
          <w:szCs w:val="24"/>
        </w:rPr>
        <w:t>возврат остатков межбюджетных трансфертов, имеющих целевое назначение, прошлых лет – 432,6 тыс. рублей.</w:t>
      </w:r>
    </w:p>
    <w:p w:rsidR="000273C0" w:rsidRPr="000273C0" w:rsidRDefault="000273C0" w:rsidP="000273C0">
      <w:pPr>
        <w:pStyle w:val="a3"/>
        <w:ind w:firstLine="708"/>
      </w:pPr>
      <w:r w:rsidRPr="000273C0">
        <w:t xml:space="preserve"> </w:t>
      </w:r>
      <w:r w:rsidRPr="000273C0">
        <w:rPr>
          <w:b/>
        </w:rPr>
        <w:t>Муниципальный долг</w:t>
      </w:r>
      <w:r w:rsidRPr="000273C0">
        <w:t xml:space="preserve"> на 1 января 2020 года составляет 4 500,0 тыс. рублей.</w:t>
      </w:r>
    </w:p>
    <w:p w:rsidR="000273C0" w:rsidRPr="000273C0" w:rsidRDefault="000273C0" w:rsidP="000273C0">
      <w:pPr>
        <w:pStyle w:val="a3"/>
      </w:pPr>
      <w:r w:rsidRPr="000273C0">
        <w:tab/>
        <w:t xml:space="preserve">За 2019 год </w:t>
      </w:r>
      <w:r w:rsidRPr="000273C0">
        <w:rPr>
          <w:b/>
        </w:rPr>
        <w:t>расходы районного бюджета</w:t>
      </w:r>
      <w:r w:rsidRPr="000273C0">
        <w:t xml:space="preserve"> исполнены в объеме </w:t>
      </w:r>
      <w:r w:rsidRPr="000273C0">
        <w:rPr>
          <w:b/>
        </w:rPr>
        <w:t>1 249 580,0 тыс. рублей</w:t>
      </w:r>
      <w:r w:rsidRPr="000273C0">
        <w:t xml:space="preserve"> или на 94,1% к плановым назначениям. </w:t>
      </w:r>
    </w:p>
    <w:p w:rsidR="000273C0" w:rsidRPr="000273C0" w:rsidRDefault="000273C0" w:rsidP="000273C0">
      <w:pPr>
        <w:ind w:firstLine="709"/>
        <w:jc w:val="both"/>
      </w:pPr>
      <w:r w:rsidRPr="000273C0">
        <w:t>Наибольший удельный вес – 75,8 % в общих расходах районного бюджета приходится на социально-культурную сферу.</w:t>
      </w:r>
    </w:p>
    <w:p w:rsidR="000273C0" w:rsidRPr="000273C0" w:rsidRDefault="000273C0" w:rsidP="000273C0">
      <w:pPr>
        <w:suppressAutoHyphens w:val="0"/>
        <w:autoSpaceDE w:val="0"/>
        <w:ind w:firstLine="709"/>
        <w:jc w:val="both"/>
      </w:pPr>
      <w:r w:rsidRPr="000273C0">
        <w:t xml:space="preserve">Отрасль «Образование» - занимает основную часть в социально-культурной сфере, ее удельный вес 81,7 %.  За отчетный период расходы по отрасли произведены в объеме 773 511,1 тыс. рублей. Исполнение составило 109,5 % к уровню 2018 года и 92,2% к плановым назначениям. В том числе проведены расходы по предоставлению общедоступного и бесплатного начального общего, основного общего, среднего (полного) общего образования по основным общеобразовательным программам, по предоставлению дополнительного образования детям и общедоступного бесплатного дошкольного образования на территории муниципального района, по организации отдыха детей в каникулярное время; по строительству детского сада на 120 мест в поселке </w:t>
      </w:r>
      <w:proofErr w:type="spellStart"/>
      <w:r w:rsidRPr="000273C0">
        <w:t>Катунино</w:t>
      </w:r>
      <w:proofErr w:type="spellEnd"/>
      <w:r w:rsidRPr="000273C0">
        <w:t>, расходы, связанные с вопросами молодежной политики и предоставлением мер социальной поддержки работникам муниципальных образовательных учреждений, работающих и проживающих в сельской местности.</w:t>
      </w:r>
    </w:p>
    <w:p w:rsidR="000273C0" w:rsidRPr="000273C0" w:rsidRDefault="000273C0" w:rsidP="000273C0">
      <w:pPr>
        <w:ind w:firstLine="709"/>
        <w:jc w:val="both"/>
        <w:rPr>
          <w:highlight w:val="yellow"/>
        </w:rPr>
      </w:pPr>
      <w:r w:rsidRPr="000273C0">
        <w:t xml:space="preserve">По отрасли «Культура, кинематография» расходы произведены в объеме 134 468,6 тыс. рублей и занимают 14,2 % в структуре социально-культурных мероприятий. К уровню 2018 года исполнение составило 119 % и 98,4% к плановым назначениям. </w:t>
      </w:r>
      <w:proofErr w:type="gramStart"/>
      <w:r w:rsidRPr="000273C0">
        <w:t xml:space="preserve">За счет данных средств обеспечено содержание подведомственной сети учреждений культуры и выполнение мероприятий муниципальных целевых программ, проведены общественно значимые культурные мероприятия, комплектование книжных фондов библиотек,  обеспечено возмещение расходов по предоставлению мер социальной поддержки квалифицированным специалистам учреждений, финансируемых из местных бюджетов, работающих и проживающих в сельской местности, продолжен капитальный ремонт </w:t>
      </w:r>
      <w:proofErr w:type="spellStart"/>
      <w:r w:rsidRPr="000273C0">
        <w:t>Катунинского</w:t>
      </w:r>
      <w:proofErr w:type="spellEnd"/>
      <w:r w:rsidRPr="000273C0">
        <w:t xml:space="preserve"> сельского Дома культуры.</w:t>
      </w:r>
      <w:proofErr w:type="gramEnd"/>
    </w:p>
    <w:p w:rsidR="000273C0" w:rsidRPr="000273C0" w:rsidRDefault="000273C0" w:rsidP="000273C0">
      <w:pPr>
        <w:ind w:firstLine="709"/>
        <w:jc w:val="both"/>
        <w:rPr>
          <w:kern w:val="0"/>
          <w:lang w:eastAsia="ru-RU"/>
        </w:rPr>
      </w:pPr>
      <w:r w:rsidRPr="000273C0">
        <w:t xml:space="preserve">Расходы по разделу «Физическая культура и спорт» в </w:t>
      </w:r>
      <w:r w:rsidRPr="000273C0">
        <w:rPr>
          <w:kern w:val="0"/>
          <w:lang w:eastAsia="ru-RU"/>
        </w:rPr>
        <w:t>отчетном периоде произведены в объеме 5 425,4</w:t>
      </w:r>
      <w:r w:rsidRPr="000273C0">
        <w:t xml:space="preserve"> тыс.</w:t>
      </w:r>
      <w:r w:rsidRPr="000273C0">
        <w:rPr>
          <w:kern w:val="0"/>
          <w:lang w:eastAsia="ru-RU"/>
        </w:rPr>
        <w:t xml:space="preserve"> рублей, расходы отрасли занимают</w:t>
      </w:r>
      <w:r w:rsidRPr="000273C0">
        <w:t xml:space="preserve"> 0,6 % в структуре социально-культурных мероприятий. Исполнение составило 122,8% к уровню 2018 года и 99,9% к плановым назначениям. </w:t>
      </w:r>
      <w:proofErr w:type="gramStart"/>
      <w:r w:rsidRPr="000273C0">
        <w:t>Средства</w:t>
      </w:r>
      <w:r w:rsidRPr="000273C0">
        <w:rPr>
          <w:kern w:val="0"/>
          <w:lang w:eastAsia="ru-RU"/>
        </w:rPr>
        <w:t xml:space="preserve"> направлены на  проведение районных массовых спортивных мероприятий и соревнований, на участие сборных команд района в областных турнирах</w:t>
      </w:r>
      <w:r w:rsidRPr="000273C0">
        <w:rPr>
          <w:color w:val="000000"/>
          <w:kern w:val="0"/>
          <w:lang w:eastAsia="ru-RU"/>
        </w:rPr>
        <w:t xml:space="preserve">, </w:t>
      </w:r>
      <w:r w:rsidRPr="000273C0">
        <w:rPr>
          <w:kern w:val="0"/>
          <w:lang w:eastAsia="ru-RU"/>
        </w:rPr>
        <w:t>а также на обустройство объектов городской инфраструктуры, парковых и рекреационных зон, плоскостных спортивных сооружений.</w:t>
      </w:r>
      <w:proofErr w:type="gramEnd"/>
    </w:p>
    <w:p w:rsidR="000273C0" w:rsidRPr="000273C0" w:rsidRDefault="000273C0" w:rsidP="000273C0">
      <w:pPr>
        <w:ind w:firstLine="709"/>
        <w:jc w:val="both"/>
      </w:pPr>
      <w:r w:rsidRPr="000273C0">
        <w:lastRenderedPageBreak/>
        <w:t xml:space="preserve"> Расходы по отрасли «Социальная политика» составили 33 797,1 тыс. рублей. Расходы на социальную политику занимают 3,5 % в структуре расходов на социально-культурные мероприятия. К уровню 2018 года расходы исполнены на 66,4% и на 98% к плановым назначениям. В том числе профинансированы расходы на мероприятия по обеспечению жильем детей – сирот и </w:t>
      </w:r>
      <w:proofErr w:type="gramStart"/>
      <w:r w:rsidRPr="000273C0">
        <w:t>детей</w:t>
      </w:r>
      <w:proofErr w:type="gramEnd"/>
      <w:r w:rsidRPr="000273C0">
        <w:t xml:space="preserve"> оставшихся без попечения родителей, граждан, молодых семей, и молодых специалистов, проживающих в сельской местности, компенсирована часть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обеспечены питанием обучающиеся муниципальных образовательных учреждений, проживающие в интернате. </w:t>
      </w:r>
    </w:p>
    <w:p w:rsidR="000273C0" w:rsidRPr="000273C0" w:rsidRDefault="000273C0" w:rsidP="000273C0">
      <w:pPr>
        <w:ind w:firstLine="709"/>
        <w:jc w:val="both"/>
        <w:rPr>
          <w:bCs/>
        </w:rPr>
      </w:pPr>
      <w:r w:rsidRPr="000273C0">
        <w:t xml:space="preserve">Расходы районного бюджета по публичным нормативным обязательствам за отчетный год составили 70,0 тыс. рублей, а именно произведены выплаты </w:t>
      </w:r>
      <w:r w:rsidRPr="000273C0">
        <w:rPr>
          <w:bCs/>
        </w:rPr>
        <w:t>по решению Собрания депутатов МО "Приморский муниципальный район" "О звании "Почетный гражданин муниципального образования "Приморский муниципальный район».</w:t>
      </w:r>
    </w:p>
    <w:p w:rsidR="000273C0" w:rsidRPr="000273C0" w:rsidRDefault="000273C0" w:rsidP="000273C0">
      <w:pPr>
        <w:ind w:firstLine="709"/>
        <w:jc w:val="both"/>
      </w:pPr>
      <w:bookmarkStart w:id="0" w:name="_GoBack"/>
      <w:bookmarkEnd w:id="0"/>
      <w:r w:rsidRPr="000273C0">
        <w:t>Общегосударственные вопросы профинансированы в отчетном периоде в объеме   77 625,2 тыс. рублей. К уровню 2018 года исполнение составило 110,7 % и 96,6% к плановым назначениям. Расходы произведены на закупку и доставку каменного угля, на доставку муки и лекарственных сре</w:t>
      </w:r>
      <w:proofErr w:type="gramStart"/>
      <w:r w:rsidRPr="000273C0">
        <w:t>дств в р</w:t>
      </w:r>
      <w:proofErr w:type="gramEnd"/>
      <w:r w:rsidRPr="000273C0">
        <w:t xml:space="preserve">айоны Крайнего Севера и приравненные к ним местности с ограниченными сроками завоза грузов, на содержание органов местного самоуправления; на выполнение передаваемых государственных полномочий, </w:t>
      </w:r>
      <w:r w:rsidRPr="000273C0">
        <w:rPr>
          <w:kern w:val="0"/>
          <w:lang w:eastAsia="ru-RU"/>
        </w:rPr>
        <w:t xml:space="preserve">проведение выборов в органы местного самоуправления, на развитие информационных и телекоммуникационных технологий, </w:t>
      </w:r>
      <w:r w:rsidRPr="000273C0">
        <w:t>в рамках данного раздела освоены также средства резервного фонда администрации муниципального образования, обеспечено содержание муниципального бюджетного учреждения «Приморский архив».</w:t>
      </w:r>
    </w:p>
    <w:p w:rsidR="000273C0" w:rsidRPr="000273C0" w:rsidRDefault="000273C0" w:rsidP="000273C0">
      <w:pPr>
        <w:ind w:firstLine="709"/>
        <w:jc w:val="both"/>
      </w:pPr>
      <w:r w:rsidRPr="000273C0">
        <w:t>Расходы по отрасли «Национальная оборона» профинансированы в объеме 2 950,6 тыс. рублей. В запланированном объеме средства направлены в бюджеты поселений на осуществление первичного воинского учета, где отсутствуют военные комиссариаты.</w:t>
      </w:r>
    </w:p>
    <w:p w:rsidR="000273C0" w:rsidRPr="000273C0" w:rsidRDefault="000273C0" w:rsidP="000273C0">
      <w:pPr>
        <w:pStyle w:val="a3"/>
        <w:ind w:firstLine="708"/>
        <w:rPr>
          <w:kern w:val="0"/>
          <w:lang w:eastAsia="ru-RU"/>
        </w:rPr>
      </w:pPr>
      <w:r w:rsidRPr="000273C0">
        <w:t xml:space="preserve">Расходы по отрасли «Национальная безопасность и правоохранительная деятельность» составили 18 699,3 тыс. рублей. Исполнение 101,2 % к уровню 2018 года и 99,7% к плановым назначениям. Средства направлены на руководство и управление в сфере установленных функций, </w:t>
      </w:r>
      <w:r w:rsidRPr="000273C0">
        <w:rPr>
          <w:rStyle w:val="csdb65fd031"/>
          <w:sz w:val="24"/>
          <w:szCs w:val="24"/>
        </w:rPr>
        <w:t>на функционирование центра гражданской защиты,</w:t>
      </w:r>
      <w:r w:rsidRPr="000273C0">
        <w:rPr>
          <w:kern w:val="0"/>
          <w:lang w:eastAsia="ru-RU"/>
        </w:rPr>
        <w:t xml:space="preserve"> на реализацию мероприятий по профилактике преступлений, иных правонарушений, по  противодействию терроризму и экстремизму, </w:t>
      </w:r>
      <w:r w:rsidRPr="000273C0">
        <w:t xml:space="preserve"> </w:t>
      </w:r>
      <w:r w:rsidRPr="000273C0">
        <w:rPr>
          <w:kern w:val="0"/>
          <w:lang w:eastAsia="ru-RU"/>
        </w:rPr>
        <w:t>по защите населения и территории от чрезвычайных ситуаций природного и техногенного характера, на поддержку деятельности подразделений добровольной пожарной охраны в поселениях.</w:t>
      </w:r>
    </w:p>
    <w:p w:rsidR="000273C0" w:rsidRPr="000273C0" w:rsidRDefault="000273C0" w:rsidP="000273C0">
      <w:pPr>
        <w:ind w:firstLine="708"/>
        <w:jc w:val="both"/>
      </w:pPr>
      <w:r w:rsidRPr="000273C0">
        <w:t>Раздел «Национальная экономика» профинансирован в объеме 114 731,9 тыс. рублей, исполнение составляет к уровню 2018 года 176,4% и 99,4% к плановым назначениям.</w:t>
      </w:r>
    </w:p>
    <w:p w:rsidR="000273C0" w:rsidRPr="000273C0" w:rsidRDefault="000273C0" w:rsidP="000273C0">
      <w:pPr>
        <w:ind w:firstLine="708"/>
        <w:jc w:val="both"/>
      </w:pPr>
      <w:r w:rsidRPr="000273C0">
        <w:t>В рамках данной отрасли произведены расходы на финансовое обеспечение дорожной деятельности, на развитие личных подсобных и крестьянских (фермерских) хозяйств, поддержку малого и среднего предпринимательства, развитие туризма. Кроме того, средства направлены на развитие инфраструктуры Соловецкого архипелага, на организацию транспортного обслуживания населения на пассажирских муниципальных маршрутах водного транспорта, на выполнение кадастровых работ и разработку градостроительной документации. Также, по данному разделу обеспечено финансирование деятельности Управления экономики и прогнозирования и муниципального казенного учреждения «Управление по капитальному строительству».</w:t>
      </w:r>
    </w:p>
    <w:p w:rsidR="000273C0" w:rsidRPr="000273C0" w:rsidRDefault="000273C0" w:rsidP="000273C0">
      <w:pPr>
        <w:ind w:firstLine="708"/>
        <w:jc w:val="both"/>
      </w:pPr>
      <w:r w:rsidRPr="000273C0">
        <w:t xml:space="preserve">На содержание </w:t>
      </w:r>
      <w:r w:rsidRPr="000273C0">
        <w:rPr>
          <w:bCs/>
        </w:rPr>
        <w:t>жилищно-коммунального хозяйства</w:t>
      </w:r>
      <w:r w:rsidRPr="000273C0">
        <w:t xml:space="preserve"> района в отчетном году израсходовано 23 359,2 тыс. рублей, исполнение составляет к уровню 2018 года 43% и 92,6% к плановым назначениям. </w:t>
      </w:r>
      <w:proofErr w:type="gramStart"/>
      <w:r w:rsidRPr="000273C0">
        <w:t>По данному разделу средства направлены на обеспечение мероприятий по переселению граждан из аварийного жилищного фонда, на ремонт многоквартирных домов, ремонт объектов коммунального хозяйства, на благоустройство дворовых и общественных территорий в рамках муниципальной программы «Формирование современной городской среды в муниципальном образовании «Приморский муниципальный район»»,</w:t>
      </w:r>
      <w:r w:rsidRPr="000273C0">
        <w:rPr>
          <w:color w:val="000000"/>
          <w:shd w:val="clear" w:color="auto" w:fill="FFFFFF"/>
        </w:rPr>
        <w:t xml:space="preserve"> </w:t>
      </w:r>
      <w:r w:rsidRPr="000273C0">
        <w:t>на проведение конкурса по благоустройству, на ремонт уличного освещения, на обеспечение деятельности Управления по инфраструктурному развитию и</w:t>
      </w:r>
      <w:proofErr w:type="gramEnd"/>
      <w:r w:rsidRPr="000273C0">
        <w:t xml:space="preserve"> муниципальному хозяйству.</w:t>
      </w:r>
    </w:p>
    <w:p w:rsidR="000273C0" w:rsidRPr="000273C0" w:rsidRDefault="000273C0" w:rsidP="000273C0">
      <w:pPr>
        <w:ind w:firstLine="709"/>
        <w:jc w:val="both"/>
      </w:pPr>
      <w:r w:rsidRPr="000273C0">
        <w:t xml:space="preserve">По разделу «Охрана окружающей среды» кассовое исполнение составило 9 975,2 тыс. рублей или 73,2% к плановым назначениям. Низкий процент исполнения по данному разделу обусловлен поздним доведением бюджетных ассигнований из областного бюджета на содержание контейнерных </w:t>
      </w:r>
      <w:r w:rsidRPr="000273C0">
        <w:lastRenderedPageBreak/>
        <w:t xml:space="preserve">площадок. По данному разделу средства направлены на приобретение мусоровоза в пос. </w:t>
      </w:r>
      <w:proofErr w:type="gramStart"/>
      <w:r w:rsidRPr="000273C0">
        <w:t>Соловецкий</w:t>
      </w:r>
      <w:proofErr w:type="gramEnd"/>
      <w:r w:rsidRPr="000273C0">
        <w:t xml:space="preserve"> и на создание мест (площадок) накопления твердых коммунальных отходов.</w:t>
      </w:r>
    </w:p>
    <w:p w:rsidR="000273C0" w:rsidRPr="000273C0" w:rsidRDefault="000273C0" w:rsidP="000273C0">
      <w:pPr>
        <w:ind w:firstLine="709"/>
        <w:jc w:val="both"/>
      </w:pPr>
      <w:r w:rsidRPr="000273C0">
        <w:t>На обслуживание муниципального долга расходы произведены в сумме 261,5 тыс. рублей, исполнение 26,3% к плановым назначениям.</w:t>
      </w:r>
    </w:p>
    <w:p w:rsidR="000273C0" w:rsidRPr="000273C0" w:rsidRDefault="000273C0" w:rsidP="000273C0">
      <w:pPr>
        <w:suppressAutoHyphens w:val="0"/>
        <w:autoSpaceDE w:val="0"/>
        <w:autoSpaceDN w:val="0"/>
        <w:adjustRightInd w:val="0"/>
        <w:ind w:firstLine="540"/>
        <w:jc w:val="both"/>
      </w:pPr>
      <w:r w:rsidRPr="000273C0">
        <w:t xml:space="preserve"> «М</w:t>
      </w:r>
      <w:r w:rsidRPr="000273C0">
        <w:rPr>
          <w:kern w:val="0"/>
          <w:lang w:eastAsia="ru-RU"/>
        </w:rPr>
        <w:t>ежбюджетные трансферты общего характера бюджетам субъектов Российской Федерации и муниципальных образований</w:t>
      </w:r>
      <w:r w:rsidRPr="000273C0">
        <w:t xml:space="preserve">», расходы по данному разделу произведены в объеме 54 774,9 тыс. рублей, исполнение составляет к уровню 2018 года 107,2% и 100% к плановым назначениям; все средства направлены на оказание финансовой помощи бюджетам муниципальных образований поселений. </w:t>
      </w:r>
    </w:p>
    <w:p w:rsidR="000273C0" w:rsidRPr="000273C0" w:rsidRDefault="000273C0" w:rsidP="000273C0">
      <w:pPr>
        <w:jc w:val="both"/>
      </w:pPr>
      <w:r w:rsidRPr="000273C0">
        <w:tab/>
        <w:t xml:space="preserve">Профицит районного бюджета сложился в объеме 27 867,7 тыс. рублей. </w:t>
      </w:r>
    </w:p>
    <w:p w:rsidR="00AE2AD1" w:rsidRDefault="00AE2AD1"/>
    <w:sectPr w:rsidR="00AE2AD1" w:rsidSect="00027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B0"/>
    <w:rsid w:val="000273C0"/>
    <w:rsid w:val="00422CB0"/>
    <w:rsid w:val="00A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C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73C0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3C0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3">
    <w:name w:val="Body Text"/>
    <w:basedOn w:val="a"/>
    <w:link w:val="a4"/>
    <w:rsid w:val="000273C0"/>
    <w:pPr>
      <w:jc w:val="both"/>
    </w:pPr>
  </w:style>
  <w:style w:type="character" w:customStyle="1" w:styleId="a4">
    <w:name w:val="Основной текст Знак"/>
    <w:basedOn w:val="a0"/>
    <w:link w:val="a3"/>
    <w:rsid w:val="000273C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sd175e48c">
    <w:name w:val="csd175e48c"/>
    <w:basedOn w:val="a"/>
    <w:rsid w:val="000273C0"/>
    <w:pPr>
      <w:suppressAutoHyphens w:val="0"/>
      <w:ind w:firstLine="700"/>
      <w:jc w:val="both"/>
    </w:pPr>
    <w:rPr>
      <w:kern w:val="0"/>
      <w:lang w:eastAsia="ru-RU"/>
    </w:rPr>
  </w:style>
  <w:style w:type="character" w:customStyle="1" w:styleId="cs9c87e9091">
    <w:name w:val="cs9c87e9091"/>
    <w:rsid w:val="000273C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FFFFFF"/>
    </w:rPr>
  </w:style>
  <w:style w:type="character" w:customStyle="1" w:styleId="csdb65fd031">
    <w:name w:val="csdb65fd031"/>
    <w:rsid w:val="000273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FFFFFF"/>
    </w:rPr>
  </w:style>
  <w:style w:type="character" w:customStyle="1" w:styleId="csc09459341">
    <w:name w:val="csc09459341"/>
    <w:rsid w:val="000273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C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273C0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3C0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3">
    <w:name w:val="Body Text"/>
    <w:basedOn w:val="a"/>
    <w:link w:val="a4"/>
    <w:rsid w:val="000273C0"/>
    <w:pPr>
      <w:jc w:val="both"/>
    </w:pPr>
  </w:style>
  <w:style w:type="character" w:customStyle="1" w:styleId="a4">
    <w:name w:val="Основной текст Знак"/>
    <w:basedOn w:val="a0"/>
    <w:link w:val="a3"/>
    <w:rsid w:val="000273C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sd175e48c">
    <w:name w:val="csd175e48c"/>
    <w:basedOn w:val="a"/>
    <w:rsid w:val="000273C0"/>
    <w:pPr>
      <w:suppressAutoHyphens w:val="0"/>
      <w:ind w:firstLine="700"/>
      <w:jc w:val="both"/>
    </w:pPr>
    <w:rPr>
      <w:kern w:val="0"/>
      <w:lang w:eastAsia="ru-RU"/>
    </w:rPr>
  </w:style>
  <w:style w:type="character" w:customStyle="1" w:styleId="cs9c87e9091">
    <w:name w:val="cs9c87e9091"/>
    <w:rsid w:val="000273C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FFFFFF"/>
    </w:rPr>
  </w:style>
  <w:style w:type="character" w:customStyle="1" w:styleId="csdb65fd031">
    <w:name w:val="csdb65fd031"/>
    <w:rsid w:val="000273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FFFFFF"/>
    </w:rPr>
  </w:style>
  <w:style w:type="character" w:customStyle="1" w:styleId="csc09459341">
    <w:name w:val="csc09459341"/>
    <w:rsid w:val="000273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2897</Words>
  <Characters>16519</Characters>
  <Application>Microsoft Office Word</Application>
  <DocSecurity>0</DocSecurity>
  <Lines>137</Lines>
  <Paragraphs>38</Paragraphs>
  <ScaleCrop>false</ScaleCrop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Елена Борисовна</dc:creator>
  <cp:keywords/>
  <dc:description/>
  <cp:lastModifiedBy>Винокурова Елена Борисовна</cp:lastModifiedBy>
  <cp:revision>2</cp:revision>
  <dcterms:created xsi:type="dcterms:W3CDTF">2020-10-08T06:14:00Z</dcterms:created>
  <dcterms:modified xsi:type="dcterms:W3CDTF">2020-10-08T06:22:00Z</dcterms:modified>
</cp:coreProperties>
</file>